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1.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theme/themeOverride2.xml" ContentType="application/vnd.openxmlformats-officedocument.themeOverride+xml"/>
  <Override PartName="/word/charts/chart20.xml" ContentType="application/vnd.openxmlformats-officedocument.drawingml.chart+xml"/>
  <Override PartName="/word/theme/themeOverride3.xml" ContentType="application/vnd.openxmlformats-officedocument.themeOverride+xml"/>
  <Override PartName="/word/charts/chart21.xml" ContentType="application/vnd.openxmlformats-officedocument.drawingml.chart+xml"/>
  <Override PartName="/word/drawings/drawing1.xml" ContentType="application/vnd.openxmlformats-officedocument.drawingml.chartshapes+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theme/themeOverride4.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drawings/drawing2.xml" ContentType="application/vnd.openxmlformats-officedocument.drawingml.chartshapes+xml"/>
  <Override PartName="/word/charts/chart29.xml" ContentType="application/vnd.openxmlformats-officedocument.drawingml.chart+xml"/>
  <Override PartName="/word/charts/chart30.xml" ContentType="application/vnd.openxmlformats-officedocument.drawingml.chart+xml"/>
  <Override PartName="/word/drawings/drawing3.xml" ContentType="application/vnd.openxmlformats-officedocument.drawingml.chartshapes+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theme/themeOverride5.xml" ContentType="application/vnd.openxmlformats-officedocument.themeOverride+xml"/>
  <Override PartName="/word/charts/chart35.xml" ContentType="application/vnd.openxmlformats-officedocument.drawingml.chart+xml"/>
  <Override PartName="/word/theme/themeOverride6.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7E1C" w:rsidRDefault="0002306A">
      <w:pPr>
        <w:pStyle w:val="a3"/>
        <w:spacing w:line="240" w:lineRule="auto"/>
        <w:rPr>
          <w:rFonts w:ascii="Arial" w:hAnsi="Arial" w:cs="Arial"/>
          <w:bCs/>
        </w:rPr>
      </w:pPr>
      <w:bookmarkStart w:id="0" w:name="_Toc479500203"/>
      <w:bookmarkStart w:id="1" w:name="_Toc480014177"/>
      <w:r>
        <w:rPr>
          <w:rFonts w:ascii="Arial" w:hAnsi="Arial" w:cs="Arial"/>
          <w:bCs/>
        </w:rPr>
        <w:t>ФЕДЕРАЛЬНАЯ СЛУЖБА ГОСУДАРСТВЕННОЙ СТАТИСТИКИ</w:t>
      </w:r>
    </w:p>
    <w:p w:rsidR="00A97E1C" w:rsidRDefault="0002306A">
      <w:pPr>
        <w:pStyle w:val="af6"/>
      </w:pPr>
      <w:r>
        <w:t>ТЕРРИТОРИАЛЬНЫЙ ОРГАН РОССТАТА ПО УЛЬЯНОВСКОЙ ОБЛАСТИ</w:t>
      </w:r>
    </w:p>
    <w:p w:rsidR="00A97E1C" w:rsidRDefault="00A97E1C">
      <w:pPr>
        <w:spacing w:before="120"/>
        <w:rPr>
          <w:rFonts w:ascii="Arial" w:hAnsi="Arial" w:cs="Arial"/>
          <w:b/>
          <w:bCs/>
          <w:sz w:val="18"/>
        </w:rPr>
      </w:pPr>
    </w:p>
    <w:p w:rsidR="00A97E1C" w:rsidRDefault="00A97E1C">
      <w:pPr>
        <w:spacing w:before="120"/>
        <w:rPr>
          <w:rFonts w:ascii="Arial" w:hAnsi="Arial" w:cs="Arial"/>
          <w:b/>
          <w:bCs/>
          <w:sz w:val="18"/>
        </w:rPr>
      </w:pPr>
    </w:p>
    <w:p w:rsidR="00A97E1C" w:rsidRDefault="00A97E1C">
      <w:pPr>
        <w:spacing w:before="120"/>
        <w:rPr>
          <w:rFonts w:ascii="Arial" w:hAnsi="Arial" w:cs="Arial"/>
          <w:b/>
          <w:bCs/>
          <w:sz w:val="18"/>
        </w:rPr>
      </w:pPr>
    </w:p>
    <w:p w:rsidR="00A97E1C" w:rsidRDefault="00A97E1C">
      <w:pPr>
        <w:spacing w:before="120"/>
        <w:rPr>
          <w:rFonts w:ascii="Arial" w:hAnsi="Arial" w:cs="Arial"/>
          <w:b/>
          <w:bCs/>
          <w:sz w:val="18"/>
        </w:rPr>
      </w:pPr>
    </w:p>
    <w:p w:rsidR="00A97E1C" w:rsidRDefault="00A97E1C">
      <w:pPr>
        <w:spacing w:before="120"/>
        <w:rPr>
          <w:rFonts w:ascii="Arial" w:hAnsi="Arial" w:cs="Arial"/>
          <w:b/>
          <w:bCs/>
          <w:sz w:val="18"/>
        </w:rPr>
      </w:pPr>
    </w:p>
    <w:p w:rsidR="00A97E1C" w:rsidRDefault="00A97E1C">
      <w:pPr>
        <w:spacing w:before="120"/>
        <w:rPr>
          <w:rFonts w:ascii="Arial" w:hAnsi="Arial" w:cs="Arial"/>
          <w:b/>
          <w:bCs/>
          <w:sz w:val="18"/>
        </w:rPr>
      </w:pPr>
    </w:p>
    <w:p w:rsidR="00A97E1C" w:rsidRDefault="00406629">
      <w:pPr>
        <w:spacing w:before="120"/>
        <w:rPr>
          <w:rFonts w:ascii="Arial" w:hAnsi="Arial" w:cs="Arial"/>
          <w:b/>
          <w:bCs/>
          <w:sz w:val="18"/>
        </w:rPr>
      </w:pPr>
      <w:r>
        <w:rPr>
          <w:rFonts w:ascii="Arial" w:hAnsi="Arial" w:cs="Arial"/>
          <w:b/>
          <w:bCs/>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21" type="#_x0000_t136" style="position:absolute;margin-left:115.15pt;margin-top:9.2pt;width:485.55pt;height:148.4pt;z-index:251661312" fillcolor="#000082" strokecolor="#365f91 [2404]">
            <v:fill color2="#ff8200" colors="0 #000082;19661f #66008f;42598f #ba0066;58982f red;1 #ff8200" method="none" type="gradient"/>
            <v:shadow on="t" color="#868686" offset=",-1pt" offset2=",-6pt"/>
            <o:extrusion v:ext="view" specularity="80000f" diffusity="43712f" backdepth="10pt" color="white" metal="t" viewpoint="-34.72222mm" viewpointorigin="-.5" skewangle="-45" brightness="10000f" lightposition="0,-50000" lightlevel="44000f" lightposition2="0,50000" lightlevel2="24000f" type="perspective"/>
            <v:textpath style="font-family:&quot;Palatino Linotype&quot;;font-size:28pt;font-weight:bold;v-text-kern:t" trim="t" fitpath="t" string="70 лет &#10;Ульяновской &#10;области"/>
            <w10:wrap type="topAndBottom"/>
          </v:shape>
        </w:pict>
      </w:r>
    </w:p>
    <w:p w:rsidR="00A97E1C" w:rsidRDefault="00A97E1C">
      <w:pPr>
        <w:spacing w:before="120"/>
        <w:rPr>
          <w:rFonts w:ascii="Arial" w:hAnsi="Arial" w:cs="Arial"/>
          <w:b/>
          <w:bCs/>
          <w:sz w:val="18"/>
        </w:rPr>
      </w:pPr>
    </w:p>
    <w:p w:rsidR="00A97E1C" w:rsidRDefault="00A97E1C">
      <w:pPr>
        <w:spacing w:before="120"/>
        <w:rPr>
          <w:rFonts w:ascii="Arial" w:hAnsi="Arial" w:cs="Arial"/>
          <w:b/>
          <w:bCs/>
          <w:sz w:val="18"/>
        </w:rPr>
      </w:pPr>
    </w:p>
    <w:p w:rsidR="00A97E1C" w:rsidRDefault="00A97E1C">
      <w:pPr>
        <w:spacing w:before="120"/>
        <w:jc w:val="center"/>
        <w:rPr>
          <w:rFonts w:ascii="Arial" w:hAnsi="Arial" w:cs="Arial"/>
          <w:b/>
          <w:bCs/>
          <w:i/>
          <w:iCs/>
        </w:rPr>
      </w:pPr>
    </w:p>
    <w:p w:rsidR="00A97E1C" w:rsidRDefault="00A97E1C">
      <w:pPr>
        <w:spacing w:before="120"/>
        <w:jc w:val="center"/>
        <w:rPr>
          <w:rFonts w:ascii="Arial" w:hAnsi="Arial" w:cs="Arial"/>
          <w:b/>
          <w:bCs/>
          <w:i/>
          <w:iCs/>
        </w:rPr>
      </w:pPr>
    </w:p>
    <w:p w:rsidR="00A97E1C" w:rsidRDefault="0002306A">
      <w:pPr>
        <w:spacing w:before="120"/>
        <w:jc w:val="center"/>
        <w:rPr>
          <w:rFonts w:ascii="Arial" w:hAnsi="Arial" w:cs="Arial"/>
          <w:b/>
          <w:bCs/>
          <w:i/>
          <w:iCs/>
          <w:sz w:val="22"/>
        </w:rPr>
      </w:pPr>
      <w:r>
        <w:rPr>
          <w:rFonts w:ascii="Arial" w:hAnsi="Arial" w:cs="Arial"/>
          <w:b/>
          <w:bCs/>
          <w:i/>
          <w:iCs/>
          <w:sz w:val="22"/>
        </w:rPr>
        <w:t>СТАТИСТИЧЕСКИЙ СБОРНИК</w:t>
      </w:r>
    </w:p>
    <w:p w:rsidR="00A97E1C" w:rsidRDefault="00A97E1C">
      <w:pPr>
        <w:spacing w:before="120"/>
        <w:jc w:val="center"/>
        <w:rPr>
          <w:rFonts w:ascii="Arial" w:hAnsi="Arial" w:cs="Arial"/>
          <w:b/>
          <w:bCs/>
          <w:i/>
          <w:iCs/>
          <w:sz w:val="18"/>
        </w:rPr>
      </w:pPr>
    </w:p>
    <w:p w:rsidR="00A97E1C" w:rsidRDefault="00A97E1C">
      <w:pPr>
        <w:spacing w:before="120"/>
        <w:jc w:val="center"/>
        <w:rPr>
          <w:rFonts w:ascii="Arial" w:hAnsi="Arial" w:cs="Arial"/>
          <w:b/>
          <w:bCs/>
          <w:lang w:val="ru-MO"/>
        </w:rPr>
      </w:pPr>
    </w:p>
    <w:p w:rsidR="00A97E1C" w:rsidRDefault="00A97E1C">
      <w:pPr>
        <w:spacing w:before="120"/>
        <w:jc w:val="center"/>
        <w:rPr>
          <w:rFonts w:ascii="Arial" w:hAnsi="Arial" w:cs="Arial"/>
          <w:b/>
          <w:bCs/>
          <w:lang w:val="ru-MO"/>
        </w:rPr>
      </w:pPr>
    </w:p>
    <w:p w:rsidR="00A97E1C" w:rsidRDefault="00A97E1C">
      <w:pPr>
        <w:spacing w:before="120"/>
        <w:jc w:val="center"/>
        <w:rPr>
          <w:rFonts w:ascii="Arial" w:hAnsi="Arial" w:cs="Arial"/>
          <w:b/>
          <w:bCs/>
          <w:lang w:val="ru-MO"/>
        </w:rPr>
      </w:pPr>
    </w:p>
    <w:p w:rsidR="00A97E1C" w:rsidRDefault="0002306A">
      <w:pPr>
        <w:spacing w:before="120"/>
        <w:jc w:val="center"/>
        <w:rPr>
          <w:rFonts w:ascii="Arial" w:hAnsi="Arial" w:cs="Arial"/>
          <w:b/>
          <w:bCs/>
          <w:sz w:val="22"/>
        </w:rPr>
      </w:pPr>
      <w:r>
        <w:rPr>
          <w:rFonts w:ascii="Arial" w:hAnsi="Arial" w:cs="Arial"/>
          <w:b/>
          <w:bCs/>
          <w:sz w:val="22"/>
        </w:rPr>
        <w:t>Ульяновск</w:t>
      </w:r>
    </w:p>
    <w:p w:rsidR="00A97E1C" w:rsidRPr="00FF5A50" w:rsidRDefault="0002306A">
      <w:pPr>
        <w:pStyle w:val="a9"/>
        <w:spacing w:line="240" w:lineRule="auto"/>
        <w:jc w:val="center"/>
        <w:rPr>
          <w:rFonts w:cs="Arial"/>
          <w:b/>
          <w:bCs/>
          <w:sz w:val="22"/>
        </w:rPr>
      </w:pPr>
      <w:r>
        <w:rPr>
          <w:rFonts w:cs="Arial"/>
          <w:b/>
          <w:bCs/>
          <w:sz w:val="22"/>
        </w:rPr>
        <w:t>201</w:t>
      </w:r>
      <w:r w:rsidR="00FF5A50">
        <w:rPr>
          <w:rFonts w:cs="Arial"/>
          <w:b/>
          <w:bCs/>
          <w:sz w:val="22"/>
        </w:rPr>
        <w:t xml:space="preserve">2 </w:t>
      </w:r>
    </w:p>
    <w:p w:rsidR="00A97E1C" w:rsidRDefault="00A97E1C">
      <w:pPr>
        <w:pStyle w:val="a9"/>
        <w:spacing w:line="240" w:lineRule="auto"/>
        <w:rPr>
          <w:rFonts w:cs="Arial"/>
          <w:b/>
          <w:bCs/>
          <w:lang w:val="ru-MO"/>
        </w:rPr>
      </w:pPr>
    </w:p>
    <w:p w:rsidR="00A97E1C" w:rsidRDefault="00D369D5" w:rsidP="00921A2A">
      <w:pPr>
        <w:rPr>
          <w:rFonts w:ascii="Arial" w:hAnsi="Arial" w:cs="Arial"/>
          <w:b/>
          <w:bCs/>
          <w:sz w:val="22"/>
        </w:rPr>
      </w:pPr>
      <w:r>
        <w:rPr>
          <w:rFonts w:ascii="Arial" w:hAnsi="Arial" w:cs="Arial"/>
          <w:b/>
          <w:bCs/>
          <w:sz w:val="22"/>
        </w:rPr>
        <w:br w:type="page"/>
      </w:r>
      <w:r w:rsidR="0002306A">
        <w:rPr>
          <w:rFonts w:ascii="Arial" w:hAnsi="Arial" w:cs="Arial"/>
          <w:b/>
          <w:bCs/>
          <w:sz w:val="22"/>
        </w:rPr>
        <w:lastRenderedPageBreak/>
        <w:t>УДК 311.313</w:t>
      </w:r>
    </w:p>
    <w:p w:rsidR="00A97E1C" w:rsidRDefault="00A97E1C">
      <w:pPr>
        <w:outlineLvl w:val="0"/>
        <w:rPr>
          <w:rFonts w:ascii="Arial" w:hAnsi="Arial" w:cs="Arial"/>
          <w:b/>
          <w:bCs/>
          <w:sz w:val="22"/>
        </w:rPr>
      </w:pPr>
    </w:p>
    <w:p w:rsidR="00A97E1C" w:rsidRDefault="00A97E1C">
      <w:pPr>
        <w:outlineLvl w:val="0"/>
        <w:rPr>
          <w:rFonts w:ascii="Arial" w:hAnsi="Arial" w:cs="Arial"/>
          <w:b/>
          <w:bCs/>
          <w:sz w:val="22"/>
        </w:rPr>
      </w:pPr>
    </w:p>
    <w:tbl>
      <w:tblPr>
        <w:tblW w:w="5000" w:type="pct"/>
        <w:tblLook w:val="0000" w:firstRow="0" w:lastRow="0" w:firstColumn="0" w:lastColumn="0" w:noHBand="0" w:noVBand="0"/>
      </w:tblPr>
      <w:tblGrid>
        <w:gridCol w:w="14504"/>
      </w:tblGrid>
      <w:tr w:rsidR="00A97E1C">
        <w:trPr>
          <w:cantSplit/>
        </w:trPr>
        <w:tc>
          <w:tcPr>
            <w:tcW w:w="5000" w:type="pct"/>
          </w:tcPr>
          <w:p w:rsidR="00A97E1C" w:rsidRDefault="0002306A">
            <w:pPr>
              <w:ind w:firstLine="720"/>
              <w:jc w:val="both"/>
              <w:rPr>
                <w:rFonts w:ascii="Arial" w:hAnsi="Arial" w:cs="Arial"/>
                <w:b/>
                <w:bCs/>
                <w:sz w:val="22"/>
              </w:rPr>
            </w:pPr>
            <w:r>
              <w:rPr>
                <w:rFonts w:ascii="Arial" w:hAnsi="Arial" w:cs="Arial"/>
                <w:b/>
                <w:bCs/>
                <w:sz w:val="22"/>
              </w:rPr>
              <w:br w:type="page"/>
              <w:t>Редакционная коллегия:</w:t>
            </w:r>
          </w:p>
        </w:tc>
      </w:tr>
      <w:tr w:rsidR="00A97E1C">
        <w:trPr>
          <w:cantSplit/>
        </w:trPr>
        <w:tc>
          <w:tcPr>
            <w:tcW w:w="5000" w:type="pct"/>
          </w:tcPr>
          <w:p w:rsidR="00A97E1C" w:rsidRDefault="0002306A">
            <w:pPr>
              <w:spacing w:before="240"/>
              <w:ind w:left="720"/>
              <w:rPr>
                <w:rFonts w:ascii="Arial" w:hAnsi="Arial" w:cs="Arial"/>
                <w:b/>
                <w:bCs/>
                <w:sz w:val="22"/>
              </w:rPr>
            </w:pPr>
            <w:proofErr w:type="spellStart"/>
            <w:r>
              <w:rPr>
                <w:rFonts w:ascii="Arial" w:hAnsi="Arial" w:cs="Arial"/>
                <w:b/>
                <w:bCs/>
                <w:sz w:val="22"/>
              </w:rPr>
              <w:t>Д.Ю.Гудз</w:t>
            </w:r>
            <w:proofErr w:type="spellEnd"/>
            <w:r>
              <w:rPr>
                <w:rFonts w:ascii="Arial" w:hAnsi="Arial" w:cs="Arial"/>
                <w:b/>
                <w:bCs/>
                <w:sz w:val="22"/>
              </w:rPr>
              <w:t xml:space="preserve"> – Председатель редакционной коллегии</w:t>
            </w:r>
          </w:p>
        </w:tc>
      </w:tr>
      <w:tr w:rsidR="00A97E1C">
        <w:trPr>
          <w:cantSplit/>
          <w:trHeight w:val="1863"/>
        </w:trPr>
        <w:tc>
          <w:tcPr>
            <w:tcW w:w="5000" w:type="pct"/>
            <w:tcBorders>
              <w:bottom w:val="nil"/>
            </w:tcBorders>
          </w:tcPr>
          <w:p w:rsidR="00A97E1C" w:rsidRDefault="00A97E1C">
            <w:pPr>
              <w:ind w:left="459"/>
              <w:rPr>
                <w:rFonts w:ascii="Arial" w:hAnsi="Arial" w:cs="Arial"/>
                <w:sz w:val="22"/>
              </w:rPr>
            </w:pPr>
          </w:p>
          <w:p w:rsidR="00A97E1C" w:rsidRDefault="0002306A">
            <w:pPr>
              <w:ind w:left="720"/>
              <w:rPr>
                <w:rFonts w:ascii="Arial" w:hAnsi="Arial" w:cs="Arial"/>
                <w:b/>
                <w:bCs/>
                <w:sz w:val="22"/>
              </w:rPr>
            </w:pPr>
            <w:r>
              <w:rPr>
                <w:rFonts w:ascii="Arial" w:hAnsi="Arial" w:cs="Arial"/>
                <w:b/>
                <w:bCs/>
                <w:sz w:val="22"/>
              </w:rPr>
              <w:t>В.А. Ефремов,  Т.Г. Осипова</w:t>
            </w:r>
            <w:r w:rsidR="00023055">
              <w:rPr>
                <w:rFonts w:ascii="Arial" w:hAnsi="Arial" w:cs="Arial"/>
                <w:b/>
                <w:bCs/>
                <w:sz w:val="22"/>
              </w:rPr>
              <w:t xml:space="preserve">, Н.А. </w:t>
            </w:r>
            <w:proofErr w:type="spellStart"/>
            <w:r w:rsidR="00023055">
              <w:rPr>
                <w:rFonts w:ascii="Arial" w:hAnsi="Arial" w:cs="Arial"/>
                <w:b/>
                <w:bCs/>
                <w:sz w:val="22"/>
              </w:rPr>
              <w:t>Студеникина</w:t>
            </w:r>
            <w:proofErr w:type="spellEnd"/>
          </w:p>
          <w:p w:rsidR="00A97E1C" w:rsidRDefault="00A97E1C">
            <w:pPr>
              <w:ind w:left="720"/>
              <w:rPr>
                <w:rFonts w:ascii="Arial" w:hAnsi="Arial" w:cs="Arial"/>
                <w:b/>
                <w:bCs/>
                <w:sz w:val="22"/>
              </w:rPr>
            </w:pPr>
          </w:p>
          <w:p w:rsidR="00A97E1C" w:rsidRDefault="00A97E1C">
            <w:pPr>
              <w:ind w:left="720"/>
              <w:rPr>
                <w:rFonts w:ascii="Arial" w:hAnsi="Arial" w:cs="Arial"/>
                <w:b/>
                <w:bCs/>
                <w:sz w:val="22"/>
              </w:rPr>
            </w:pPr>
          </w:p>
          <w:p w:rsidR="00A97E1C" w:rsidRDefault="00A97E1C">
            <w:pPr>
              <w:ind w:left="720"/>
              <w:rPr>
                <w:rFonts w:ascii="Arial" w:hAnsi="Arial" w:cs="Arial"/>
                <w:b/>
                <w:bCs/>
                <w:sz w:val="22"/>
              </w:rPr>
            </w:pPr>
          </w:p>
          <w:p w:rsidR="00A97E1C" w:rsidRDefault="00A97E1C">
            <w:pPr>
              <w:ind w:left="720"/>
              <w:rPr>
                <w:rFonts w:ascii="Arial" w:hAnsi="Arial" w:cs="Arial"/>
                <w:b/>
                <w:bCs/>
                <w:sz w:val="22"/>
              </w:rPr>
            </w:pPr>
          </w:p>
          <w:p w:rsidR="00A97E1C" w:rsidRDefault="00A97E1C">
            <w:pPr>
              <w:ind w:left="720"/>
              <w:rPr>
                <w:rFonts w:ascii="Arial" w:hAnsi="Arial" w:cs="Arial"/>
                <w:b/>
                <w:bCs/>
                <w:sz w:val="22"/>
              </w:rPr>
            </w:pPr>
          </w:p>
          <w:p w:rsidR="00A97E1C" w:rsidRDefault="0002306A">
            <w:pPr>
              <w:ind w:left="720"/>
              <w:rPr>
                <w:rFonts w:ascii="Arial" w:hAnsi="Arial" w:cs="Arial"/>
                <w:b/>
                <w:bCs/>
                <w:sz w:val="22"/>
              </w:rPr>
            </w:pPr>
            <w:proofErr w:type="gramStart"/>
            <w:r>
              <w:rPr>
                <w:rFonts w:ascii="Arial" w:hAnsi="Arial" w:cs="Arial"/>
                <w:b/>
                <w:bCs/>
                <w:sz w:val="22"/>
              </w:rPr>
              <w:t>Ответственные за разделы:</w:t>
            </w:r>
            <w:proofErr w:type="gramEnd"/>
          </w:p>
          <w:p w:rsidR="00A97E1C" w:rsidRDefault="00A97E1C">
            <w:pPr>
              <w:ind w:left="720"/>
              <w:rPr>
                <w:rFonts w:ascii="Arial" w:hAnsi="Arial" w:cs="Arial"/>
                <w:b/>
                <w:bCs/>
                <w:sz w:val="22"/>
              </w:rPr>
            </w:pPr>
          </w:p>
          <w:p w:rsidR="00A97E1C" w:rsidRDefault="0002306A" w:rsidP="00D369D5">
            <w:pPr>
              <w:ind w:left="720"/>
              <w:rPr>
                <w:rFonts w:ascii="Arial" w:hAnsi="Arial" w:cs="Arial"/>
                <w:sz w:val="22"/>
              </w:rPr>
            </w:pPr>
            <w:r>
              <w:rPr>
                <w:rFonts w:ascii="Arial" w:hAnsi="Arial" w:cs="Arial"/>
                <w:b/>
                <w:bCs/>
                <w:sz w:val="22"/>
              </w:rPr>
              <w:t xml:space="preserve">Е.А. Денисова,  Л.С. Ефремова, </w:t>
            </w:r>
            <w:r w:rsidR="00217011">
              <w:rPr>
                <w:rFonts w:ascii="Arial" w:hAnsi="Arial" w:cs="Arial"/>
                <w:b/>
                <w:bCs/>
                <w:sz w:val="22"/>
              </w:rPr>
              <w:t xml:space="preserve">Л.Н. Иевлева, </w:t>
            </w:r>
            <w:r w:rsidR="00D369D5">
              <w:rPr>
                <w:rFonts w:ascii="Arial" w:hAnsi="Arial" w:cs="Arial"/>
                <w:b/>
                <w:bCs/>
                <w:sz w:val="22"/>
              </w:rPr>
              <w:t xml:space="preserve">Н.И. Козлова, </w:t>
            </w:r>
            <w:r>
              <w:rPr>
                <w:rFonts w:ascii="Arial" w:hAnsi="Arial" w:cs="Arial"/>
                <w:b/>
                <w:bCs/>
                <w:sz w:val="22"/>
              </w:rPr>
              <w:t>Э.Н. Маврина, Л.В. Маслова,  Т.Г. Токарева</w:t>
            </w:r>
          </w:p>
        </w:tc>
      </w:tr>
      <w:tr w:rsidR="00A97E1C">
        <w:trPr>
          <w:cantSplit/>
        </w:trPr>
        <w:tc>
          <w:tcPr>
            <w:tcW w:w="5000" w:type="pct"/>
          </w:tcPr>
          <w:p w:rsidR="00A97E1C" w:rsidRDefault="00A97E1C">
            <w:pPr>
              <w:spacing w:before="120"/>
              <w:ind w:left="720" w:firstLine="540"/>
              <w:rPr>
                <w:rFonts w:ascii="Arial" w:hAnsi="Arial" w:cs="Arial"/>
                <w:sz w:val="22"/>
              </w:rPr>
            </w:pPr>
          </w:p>
          <w:p w:rsidR="00A97E1C" w:rsidRDefault="00A97E1C">
            <w:pPr>
              <w:spacing w:before="120"/>
              <w:ind w:left="720" w:firstLine="540"/>
              <w:rPr>
                <w:rFonts w:ascii="Arial" w:hAnsi="Arial" w:cs="Arial"/>
                <w:sz w:val="22"/>
              </w:rPr>
            </w:pPr>
          </w:p>
          <w:p w:rsidR="00A97E1C" w:rsidRDefault="00A97E1C">
            <w:pPr>
              <w:spacing w:before="120"/>
              <w:ind w:left="720" w:firstLine="540"/>
              <w:rPr>
                <w:rFonts w:ascii="Arial" w:hAnsi="Arial" w:cs="Arial"/>
                <w:sz w:val="22"/>
              </w:rPr>
            </w:pPr>
          </w:p>
          <w:p w:rsidR="00A97E1C" w:rsidRDefault="0002306A" w:rsidP="00C01610">
            <w:pPr>
              <w:spacing w:before="120"/>
              <w:ind w:left="720" w:firstLine="540"/>
              <w:rPr>
                <w:rFonts w:ascii="Arial" w:hAnsi="Arial" w:cs="Arial"/>
                <w:sz w:val="22"/>
              </w:rPr>
            </w:pPr>
            <w:r>
              <w:rPr>
                <w:rFonts w:ascii="Arial" w:hAnsi="Arial" w:cs="Arial"/>
                <w:sz w:val="22"/>
              </w:rPr>
              <w:t>Статистический сборник.</w:t>
            </w:r>
            <w:r w:rsidR="00D369D5">
              <w:rPr>
                <w:rFonts w:ascii="Arial" w:hAnsi="Arial" w:cs="Arial"/>
                <w:b/>
                <w:bCs/>
                <w:sz w:val="22"/>
              </w:rPr>
              <w:t>70 лет Ульяновской области</w:t>
            </w:r>
            <w:r>
              <w:rPr>
                <w:rFonts w:ascii="Arial" w:hAnsi="Arial" w:cs="Arial"/>
                <w:sz w:val="22"/>
              </w:rPr>
              <w:t>: Стат.сб. – Ул., 20</w:t>
            </w:r>
            <w:r w:rsidR="004425DB">
              <w:rPr>
                <w:rFonts w:ascii="Arial" w:hAnsi="Arial" w:cs="Arial"/>
                <w:sz w:val="22"/>
              </w:rPr>
              <w:t>1</w:t>
            </w:r>
            <w:r w:rsidR="00D369D5">
              <w:rPr>
                <w:rFonts w:ascii="Arial" w:hAnsi="Arial" w:cs="Arial"/>
                <w:sz w:val="22"/>
              </w:rPr>
              <w:t>2</w:t>
            </w:r>
            <w:r>
              <w:rPr>
                <w:rFonts w:ascii="Arial" w:hAnsi="Arial" w:cs="Arial"/>
                <w:sz w:val="22"/>
              </w:rPr>
              <w:t xml:space="preserve"> – </w:t>
            </w:r>
            <w:r w:rsidR="008F0B9B">
              <w:rPr>
                <w:rFonts w:ascii="Arial" w:hAnsi="Arial" w:cs="Arial"/>
                <w:sz w:val="22"/>
              </w:rPr>
              <w:t>9</w:t>
            </w:r>
            <w:r w:rsidR="00C01610">
              <w:rPr>
                <w:rFonts w:ascii="Arial" w:hAnsi="Arial" w:cs="Arial"/>
                <w:sz w:val="22"/>
              </w:rPr>
              <w:t>4</w:t>
            </w:r>
            <w:r>
              <w:rPr>
                <w:rFonts w:ascii="Arial" w:hAnsi="Arial" w:cs="Arial"/>
                <w:sz w:val="22"/>
              </w:rPr>
              <w:t>с.</w:t>
            </w:r>
          </w:p>
        </w:tc>
      </w:tr>
      <w:tr w:rsidR="00A97E1C">
        <w:trPr>
          <w:cantSplit/>
        </w:trPr>
        <w:tc>
          <w:tcPr>
            <w:tcW w:w="5000" w:type="pct"/>
          </w:tcPr>
          <w:p w:rsidR="00A97E1C" w:rsidRDefault="00A97E1C">
            <w:pPr>
              <w:spacing w:before="120"/>
              <w:ind w:left="720" w:firstLine="540"/>
              <w:rPr>
                <w:rFonts w:ascii="Arial" w:hAnsi="Arial" w:cs="Arial"/>
                <w:sz w:val="22"/>
                <w:lang w:val="ru-MO"/>
              </w:rPr>
            </w:pPr>
          </w:p>
        </w:tc>
      </w:tr>
    </w:tbl>
    <w:p w:rsidR="00A97E1C" w:rsidRDefault="00A97E1C">
      <w:pPr>
        <w:ind w:firstLine="426"/>
        <w:jc w:val="both"/>
        <w:rPr>
          <w:rFonts w:ascii="Arial" w:hAnsi="Arial" w:cs="Arial"/>
          <w:sz w:val="22"/>
        </w:rPr>
      </w:pPr>
    </w:p>
    <w:p w:rsidR="00A97E1C" w:rsidRDefault="00A97E1C">
      <w:pPr>
        <w:ind w:left="4536"/>
        <w:outlineLvl w:val="0"/>
        <w:rPr>
          <w:rFonts w:ascii="Arial" w:hAnsi="Arial" w:cs="Arial"/>
          <w:sz w:val="22"/>
        </w:rPr>
      </w:pPr>
    </w:p>
    <w:p w:rsidR="00A97E1C" w:rsidRDefault="00A97E1C">
      <w:pPr>
        <w:ind w:left="5954"/>
        <w:outlineLvl w:val="0"/>
        <w:rPr>
          <w:rFonts w:ascii="Arial" w:hAnsi="Arial" w:cs="Arial"/>
          <w:b/>
          <w:bCs/>
          <w:sz w:val="22"/>
          <w:lang w:val="ru-MO"/>
        </w:rPr>
      </w:pPr>
    </w:p>
    <w:p w:rsidR="00A97E1C" w:rsidRDefault="00A97E1C">
      <w:pPr>
        <w:ind w:left="5954"/>
        <w:outlineLvl w:val="0"/>
        <w:rPr>
          <w:rFonts w:ascii="Arial" w:hAnsi="Arial" w:cs="Arial"/>
          <w:b/>
          <w:bCs/>
          <w:sz w:val="22"/>
          <w:lang w:val="ru-MO"/>
        </w:rPr>
      </w:pPr>
    </w:p>
    <w:p w:rsidR="00A97E1C" w:rsidRDefault="0002306A" w:rsidP="004425DB">
      <w:pPr>
        <w:ind w:left="10065"/>
        <w:outlineLvl w:val="0"/>
        <w:rPr>
          <w:rFonts w:ascii="Arial" w:hAnsi="Arial" w:cs="Arial"/>
          <w:b/>
          <w:bCs/>
          <w:sz w:val="22"/>
        </w:rPr>
      </w:pPr>
      <w:r>
        <w:rPr>
          <w:rFonts w:ascii="Arial" w:hAnsi="Arial" w:cs="Arial"/>
          <w:b/>
          <w:bCs/>
          <w:sz w:val="22"/>
        </w:rPr>
        <w:t>УДК 311.313</w:t>
      </w:r>
    </w:p>
    <w:p w:rsidR="00A97E1C" w:rsidRDefault="0002306A" w:rsidP="004425DB">
      <w:pPr>
        <w:suppressLineNumbers/>
        <w:ind w:left="10065" w:firstLine="5954"/>
        <w:rPr>
          <w:rFonts w:ascii="Arial" w:hAnsi="Arial" w:cs="Arial"/>
          <w:sz w:val="22"/>
        </w:rPr>
      </w:pPr>
      <w:r>
        <w:rPr>
          <w:rFonts w:ascii="Arial" w:hAnsi="Arial" w:cs="Arial"/>
          <w:sz w:val="22"/>
        </w:rPr>
        <w:sym w:font="Symbol" w:char="F0D3"/>
      </w:r>
      <w:r>
        <w:rPr>
          <w:rFonts w:ascii="Arial" w:hAnsi="Arial" w:cs="Arial"/>
          <w:sz w:val="22"/>
        </w:rPr>
        <w:t>Территориальный орган Росстата</w:t>
      </w:r>
    </w:p>
    <w:p w:rsidR="00A97E1C" w:rsidRDefault="0002306A" w:rsidP="004425DB">
      <w:pPr>
        <w:suppressLineNumbers/>
        <w:ind w:left="10065" w:firstLine="5954"/>
        <w:rPr>
          <w:rFonts w:ascii="Arial" w:hAnsi="Arial" w:cs="Arial"/>
          <w:sz w:val="22"/>
        </w:rPr>
      </w:pPr>
      <w:proofErr w:type="spellStart"/>
      <w:r>
        <w:rPr>
          <w:rFonts w:ascii="Arial" w:hAnsi="Arial" w:cs="Arial"/>
          <w:sz w:val="22"/>
        </w:rPr>
        <w:t>п</w:t>
      </w:r>
      <w:r w:rsidR="00C2649D">
        <w:rPr>
          <w:rFonts w:ascii="Arial" w:hAnsi="Arial" w:cs="Arial"/>
          <w:sz w:val="22"/>
        </w:rPr>
        <w:t>п</w:t>
      </w:r>
      <w:r>
        <w:rPr>
          <w:rFonts w:ascii="Arial" w:hAnsi="Arial" w:cs="Arial"/>
          <w:sz w:val="22"/>
        </w:rPr>
        <w:t>о</w:t>
      </w:r>
      <w:proofErr w:type="spellEnd"/>
      <w:r>
        <w:rPr>
          <w:rFonts w:ascii="Arial" w:hAnsi="Arial" w:cs="Arial"/>
          <w:sz w:val="22"/>
        </w:rPr>
        <w:t xml:space="preserve"> Ульяновской области, 20</w:t>
      </w:r>
      <w:r w:rsidR="00C2649D">
        <w:rPr>
          <w:rFonts w:ascii="Arial" w:hAnsi="Arial" w:cs="Arial"/>
          <w:sz w:val="22"/>
        </w:rPr>
        <w:t>1</w:t>
      </w:r>
      <w:r w:rsidR="00D369D5">
        <w:rPr>
          <w:rFonts w:ascii="Arial" w:hAnsi="Arial" w:cs="Arial"/>
          <w:sz w:val="22"/>
        </w:rPr>
        <w:t>2</w:t>
      </w:r>
    </w:p>
    <w:p w:rsidR="00A97E1C" w:rsidRDefault="0002306A" w:rsidP="004425DB">
      <w:pPr>
        <w:suppressLineNumbers/>
        <w:ind w:left="10065" w:firstLine="5954"/>
        <w:rPr>
          <w:rFonts w:ascii="Arial" w:hAnsi="Arial" w:cs="Arial"/>
          <w:color w:val="000000"/>
          <w:sz w:val="22"/>
          <w:lang w:val="en-US"/>
        </w:rPr>
      </w:pPr>
      <w:r>
        <w:rPr>
          <w:rFonts w:ascii="Arial" w:hAnsi="Arial" w:cs="Arial"/>
          <w:color w:val="000000"/>
          <w:sz w:val="22"/>
          <w:lang w:val="en-US"/>
        </w:rPr>
        <w:t>E</w:t>
      </w:r>
      <w:r w:rsidR="004425DB">
        <w:rPr>
          <w:rFonts w:ascii="Arial" w:hAnsi="Arial" w:cs="Arial"/>
          <w:color w:val="000000"/>
          <w:sz w:val="22"/>
        </w:rPr>
        <w:t>Е</w:t>
      </w:r>
      <w:r w:rsidRPr="00FA491E">
        <w:rPr>
          <w:rFonts w:ascii="Arial" w:hAnsi="Arial" w:cs="Arial"/>
          <w:color w:val="000000"/>
          <w:sz w:val="22"/>
          <w:lang w:val="en-US"/>
        </w:rPr>
        <w:t>-</w:t>
      </w:r>
      <w:r>
        <w:rPr>
          <w:rFonts w:ascii="Arial" w:hAnsi="Arial" w:cs="Arial"/>
          <w:color w:val="000000"/>
          <w:sz w:val="22"/>
          <w:lang w:val="en-US"/>
        </w:rPr>
        <w:t xml:space="preserve">mail: </w:t>
      </w:r>
      <w:hyperlink r:id="rId9" w:history="1">
        <w:r>
          <w:rPr>
            <w:rStyle w:val="af"/>
            <w:rFonts w:ascii="Arial" w:hAnsi="Arial" w:cs="Arial"/>
            <w:color w:val="000000"/>
            <w:sz w:val="22"/>
            <w:lang w:val="en-US"/>
          </w:rPr>
          <w:t>ulobl@st</w:t>
        </w:r>
        <w:bookmarkStart w:id="2" w:name="_Hlt41902593"/>
        <w:r>
          <w:rPr>
            <w:rStyle w:val="af"/>
            <w:rFonts w:ascii="Arial" w:hAnsi="Arial" w:cs="Arial"/>
            <w:color w:val="000000"/>
            <w:sz w:val="22"/>
            <w:lang w:val="en-US"/>
          </w:rPr>
          <w:t>a</w:t>
        </w:r>
        <w:bookmarkStart w:id="3" w:name="_Hlt41902613"/>
        <w:bookmarkEnd w:id="2"/>
        <w:r>
          <w:rPr>
            <w:rStyle w:val="af"/>
            <w:rFonts w:ascii="Arial" w:hAnsi="Arial" w:cs="Arial"/>
            <w:color w:val="000000"/>
            <w:sz w:val="22"/>
            <w:lang w:val="en-US"/>
          </w:rPr>
          <w:t>t</w:t>
        </w:r>
        <w:bookmarkEnd w:id="3"/>
        <w:r>
          <w:rPr>
            <w:rStyle w:val="af"/>
            <w:rFonts w:ascii="Arial" w:hAnsi="Arial" w:cs="Arial"/>
            <w:color w:val="000000"/>
            <w:sz w:val="22"/>
            <w:lang w:val="en-US"/>
          </w:rPr>
          <w:t>co</w:t>
        </w:r>
        <w:bookmarkStart w:id="4" w:name="_Hlt41902628"/>
        <w:r>
          <w:rPr>
            <w:rStyle w:val="af"/>
            <w:rFonts w:ascii="Arial" w:hAnsi="Arial" w:cs="Arial"/>
            <w:color w:val="000000"/>
            <w:sz w:val="22"/>
            <w:lang w:val="en-US"/>
          </w:rPr>
          <w:t>m</w:t>
        </w:r>
        <w:bookmarkEnd w:id="4"/>
        <w:r>
          <w:rPr>
            <w:rStyle w:val="af"/>
            <w:rFonts w:ascii="Arial" w:hAnsi="Arial" w:cs="Arial"/>
            <w:color w:val="000000"/>
            <w:sz w:val="22"/>
            <w:lang w:val="en-US"/>
          </w:rPr>
          <w:t>.</w:t>
        </w:r>
        <w:bookmarkStart w:id="5" w:name="_Hlt41902598"/>
        <w:r>
          <w:rPr>
            <w:rStyle w:val="af"/>
            <w:rFonts w:ascii="Arial" w:hAnsi="Arial" w:cs="Arial"/>
            <w:color w:val="000000"/>
            <w:sz w:val="22"/>
            <w:lang w:val="en-US"/>
          </w:rPr>
          <w:t>m</w:t>
        </w:r>
        <w:bookmarkEnd w:id="5"/>
        <w:r>
          <w:rPr>
            <w:rStyle w:val="af"/>
            <w:rFonts w:ascii="Arial" w:hAnsi="Arial" w:cs="Arial"/>
            <w:color w:val="000000"/>
            <w:sz w:val="22"/>
            <w:lang w:val="en-US"/>
          </w:rPr>
          <w:t>v.ru</w:t>
        </w:r>
      </w:hyperlink>
    </w:p>
    <w:p w:rsidR="00A97E1C" w:rsidRPr="0015657B" w:rsidRDefault="0002306A" w:rsidP="004425DB">
      <w:pPr>
        <w:suppressLineNumbers/>
        <w:ind w:left="10065" w:firstLine="5954"/>
        <w:rPr>
          <w:rFonts w:ascii="Arial" w:hAnsi="Arial" w:cs="Arial"/>
          <w:sz w:val="22"/>
        </w:rPr>
      </w:pPr>
      <w:proofErr w:type="spellStart"/>
      <w:proofErr w:type="gramStart"/>
      <w:r>
        <w:rPr>
          <w:rFonts w:ascii="Arial" w:hAnsi="Arial" w:cs="Arial"/>
          <w:sz w:val="22"/>
          <w:lang w:val="en-US"/>
        </w:rPr>
        <w:t>h</w:t>
      </w:r>
      <w:r w:rsidR="004425DB">
        <w:rPr>
          <w:rFonts w:ascii="Arial" w:hAnsi="Arial" w:cs="Arial"/>
          <w:sz w:val="22"/>
          <w:lang w:val="en-US"/>
        </w:rPr>
        <w:t>H</w:t>
      </w:r>
      <w:r>
        <w:rPr>
          <w:rFonts w:ascii="Arial" w:hAnsi="Arial" w:cs="Arial"/>
          <w:sz w:val="22"/>
          <w:lang w:val="en-US"/>
        </w:rPr>
        <w:t>ttp</w:t>
      </w:r>
      <w:proofErr w:type="spellEnd"/>
      <w:proofErr w:type="gramEnd"/>
      <w:r w:rsidRPr="0015657B">
        <w:rPr>
          <w:rFonts w:ascii="Arial" w:hAnsi="Arial" w:cs="Arial"/>
          <w:sz w:val="22"/>
        </w:rPr>
        <w:t xml:space="preserve">: // </w:t>
      </w:r>
      <w:proofErr w:type="spellStart"/>
      <w:r>
        <w:rPr>
          <w:rFonts w:ascii="Arial" w:hAnsi="Arial" w:cs="Arial"/>
          <w:sz w:val="22"/>
          <w:lang w:val="en-US"/>
        </w:rPr>
        <w:t>uln</w:t>
      </w:r>
      <w:proofErr w:type="spellEnd"/>
      <w:r w:rsidRPr="0015657B">
        <w:rPr>
          <w:rFonts w:ascii="Arial" w:hAnsi="Arial" w:cs="Arial"/>
          <w:sz w:val="22"/>
        </w:rPr>
        <w:t>.</w:t>
      </w:r>
      <w:proofErr w:type="spellStart"/>
      <w:r>
        <w:rPr>
          <w:rFonts w:ascii="Arial" w:hAnsi="Arial" w:cs="Arial"/>
          <w:sz w:val="22"/>
          <w:lang w:val="en-US"/>
        </w:rPr>
        <w:t>gks</w:t>
      </w:r>
      <w:proofErr w:type="spellEnd"/>
      <w:r w:rsidRPr="0015657B">
        <w:rPr>
          <w:rFonts w:ascii="Arial" w:hAnsi="Arial" w:cs="Arial"/>
          <w:sz w:val="22"/>
        </w:rPr>
        <w:t>.</w:t>
      </w:r>
      <w:proofErr w:type="spellStart"/>
      <w:r>
        <w:rPr>
          <w:rFonts w:ascii="Arial" w:hAnsi="Arial" w:cs="Arial"/>
          <w:sz w:val="22"/>
          <w:lang w:val="en-US"/>
        </w:rPr>
        <w:t>ru</w:t>
      </w:r>
      <w:proofErr w:type="spellEnd"/>
    </w:p>
    <w:p w:rsidR="00A97E1C" w:rsidRPr="0015657B" w:rsidRDefault="0002306A">
      <w:pPr>
        <w:pStyle w:val="1"/>
      </w:pPr>
      <w:r w:rsidRPr="0015657B">
        <w:br w:type="page"/>
      </w:r>
    </w:p>
    <w:p w:rsidR="00A97E1C" w:rsidRPr="0015657B" w:rsidRDefault="00A97E1C">
      <w:pPr>
        <w:pStyle w:val="1"/>
      </w:pPr>
    </w:p>
    <w:p w:rsidR="00A97E1C" w:rsidRDefault="0002306A">
      <w:pPr>
        <w:pStyle w:val="1"/>
      </w:pPr>
      <w:bookmarkStart w:id="6" w:name="_Toc309826880"/>
      <w:r>
        <w:t>ПРЕДИСЛОВИЕ</w:t>
      </w:r>
      <w:bookmarkEnd w:id="6"/>
    </w:p>
    <w:p w:rsidR="00A97E1C" w:rsidRDefault="00A97E1C">
      <w:pPr>
        <w:pStyle w:val="a5"/>
        <w:tabs>
          <w:tab w:val="clear" w:pos="4153"/>
          <w:tab w:val="clear" w:pos="8306"/>
        </w:tabs>
      </w:pPr>
    </w:p>
    <w:p w:rsidR="00A97E1C" w:rsidRDefault="00A97E1C"/>
    <w:p w:rsidR="00A97E1C" w:rsidRDefault="00A97E1C">
      <w:pPr>
        <w:spacing w:line="360" w:lineRule="auto"/>
        <w:ind w:firstLine="709"/>
        <w:jc w:val="both"/>
        <w:rPr>
          <w:rFonts w:ascii="Arial" w:hAnsi="Arial" w:cs="Arial"/>
          <w:sz w:val="22"/>
        </w:rPr>
      </w:pPr>
    </w:p>
    <w:p w:rsidR="006F318B" w:rsidRPr="00217011" w:rsidRDefault="006F318B" w:rsidP="00217011">
      <w:pPr>
        <w:pStyle w:val="aa"/>
        <w:spacing w:line="360" w:lineRule="auto"/>
        <w:rPr>
          <w:rFonts w:cs="Arial"/>
          <w:sz w:val="22"/>
        </w:rPr>
      </w:pPr>
      <w:r w:rsidRPr="00217011">
        <w:rPr>
          <w:rFonts w:cs="Arial"/>
          <w:sz w:val="22"/>
        </w:rPr>
        <w:t>В сборнике «</w:t>
      </w:r>
      <w:r w:rsidR="005B158F">
        <w:rPr>
          <w:rFonts w:cs="Arial"/>
          <w:sz w:val="22"/>
        </w:rPr>
        <w:t>70 лет</w:t>
      </w:r>
      <w:r w:rsidRPr="00217011">
        <w:rPr>
          <w:rFonts w:cs="Arial"/>
          <w:sz w:val="22"/>
        </w:rPr>
        <w:t xml:space="preserve"> Ульяновской области» пред</w:t>
      </w:r>
      <w:r w:rsidRPr="00217011">
        <w:rPr>
          <w:rFonts w:cs="Arial"/>
          <w:sz w:val="22"/>
        </w:rPr>
        <w:softHyphen/>
        <w:t>ставлен анали</w:t>
      </w:r>
      <w:r w:rsidRPr="00217011">
        <w:rPr>
          <w:rFonts w:cs="Arial"/>
          <w:sz w:val="22"/>
        </w:rPr>
        <w:softHyphen/>
        <w:t>ти</w:t>
      </w:r>
      <w:r w:rsidRPr="00217011">
        <w:rPr>
          <w:rFonts w:cs="Arial"/>
          <w:sz w:val="22"/>
        </w:rPr>
        <w:softHyphen/>
      </w:r>
      <w:r w:rsidRPr="00217011">
        <w:rPr>
          <w:rFonts w:cs="Arial"/>
          <w:sz w:val="22"/>
        </w:rPr>
        <w:softHyphen/>
        <w:t>ческий ма</w:t>
      </w:r>
      <w:r w:rsidRPr="00217011">
        <w:rPr>
          <w:rFonts w:cs="Arial"/>
          <w:sz w:val="22"/>
        </w:rPr>
        <w:softHyphen/>
        <w:t>териал, характеризу</w:t>
      </w:r>
      <w:r w:rsidRPr="00217011">
        <w:rPr>
          <w:rFonts w:cs="Arial"/>
          <w:sz w:val="22"/>
        </w:rPr>
        <w:softHyphen/>
        <w:t>ю</w:t>
      </w:r>
      <w:r w:rsidRPr="00217011">
        <w:rPr>
          <w:rFonts w:cs="Arial"/>
          <w:sz w:val="22"/>
        </w:rPr>
        <w:softHyphen/>
        <w:t>щий основ</w:t>
      </w:r>
      <w:r w:rsidRPr="00217011">
        <w:rPr>
          <w:rFonts w:cs="Arial"/>
          <w:sz w:val="22"/>
        </w:rPr>
        <w:softHyphen/>
        <w:t>ные этапы раз</w:t>
      </w:r>
      <w:r w:rsidRPr="00217011">
        <w:rPr>
          <w:rFonts w:cs="Arial"/>
          <w:sz w:val="22"/>
        </w:rPr>
        <w:softHyphen/>
        <w:t>вития эко</w:t>
      </w:r>
      <w:r w:rsidRPr="00217011">
        <w:rPr>
          <w:rFonts w:cs="Arial"/>
          <w:sz w:val="22"/>
        </w:rPr>
        <w:softHyphen/>
        <w:t>но</w:t>
      </w:r>
      <w:r w:rsidRPr="00217011">
        <w:rPr>
          <w:rFonts w:cs="Arial"/>
          <w:sz w:val="22"/>
        </w:rPr>
        <w:softHyphen/>
        <w:t xml:space="preserve">мики Ульяновской области. </w:t>
      </w:r>
    </w:p>
    <w:p w:rsidR="006F318B" w:rsidRDefault="006F318B" w:rsidP="00217011">
      <w:pPr>
        <w:spacing w:line="360" w:lineRule="auto"/>
        <w:ind w:firstLine="709"/>
        <w:jc w:val="both"/>
        <w:rPr>
          <w:rFonts w:ascii="Arial" w:hAnsi="Arial" w:cs="Arial"/>
          <w:sz w:val="22"/>
        </w:rPr>
      </w:pPr>
      <w:r>
        <w:rPr>
          <w:rFonts w:ascii="Arial" w:hAnsi="Arial" w:cs="Arial"/>
          <w:sz w:val="22"/>
        </w:rPr>
        <w:t xml:space="preserve"> Помещены данные по основным показателям, отражающим демографические процессы, рынок труда, социальную сферу, пр</w:t>
      </w:r>
      <w:r>
        <w:rPr>
          <w:rFonts w:ascii="Arial" w:hAnsi="Arial" w:cs="Arial"/>
          <w:sz w:val="22"/>
        </w:rPr>
        <w:t>о</w:t>
      </w:r>
      <w:r>
        <w:rPr>
          <w:rFonts w:ascii="Arial" w:hAnsi="Arial" w:cs="Arial"/>
          <w:sz w:val="22"/>
        </w:rPr>
        <w:t>мышленное производство, сельское хозяйство, строительство, торговлю, финансовое состояние, инфляционные процессы и внешнеэк</w:t>
      </w:r>
      <w:r>
        <w:rPr>
          <w:rFonts w:ascii="Arial" w:hAnsi="Arial" w:cs="Arial"/>
          <w:sz w:val="22"/>
        </w:rPr>
        <w:t>о</w:t>
      </w:r>
      <w:r>
        <w:rPr>
          <w:rFonts w:ascii="Arial" w:hAnsi="Arial" w:cs="Arial"/>
          <w:sz w:val="22"/>
        </w:rPr>
        <w:t>номическую деятельность. Табличный и графический материал в основном представлен в динамике с 1943 по 201</w:t>
      </w:r>
      <w:r w:rsidR="00930CD4">
        <w:rPr>
          <w:rFonts w:ascii="Arial" w:hAnsi="Arial" w:cs="Arial"/>
          <w:sz w:val="22"/>
        </w:rPr>
        <w:t>1</w:t>
      </w:r>
      <w:r>
        <w:rPr>
          <w:rFonts w:ascii="Arial" w:hAnsi="Arial" w:cs="Arial"/>
          <w:sz w:val="22"/>
        </w:rPr>
        <w:t xml:space="preserve"> год преимуществе</w:t>
      </w:r>
      <w:r>
        <w:rPr>
          <w:rFonts w:ascii="Arial" w:hAnsi="Arial" w:cs="Arial"/>
          <w:sz w:val="22"/>
        </w:rPr>
        <w:t>н</w:t>
      </w:r>
      <w:r>
        <w:rPr>
          <w:rFonts w:ascii="Arial" w:hAnsi="Arial" w:cs="Arial"/>
          <w:sz w:val="22"/>
        </w:rPr>
        <w:t>но с пятилетним периодом. По некоторым направлениям статистики динамика представлена с момента начала разработки.</w:t>
      </w:r>
    </w:p>
    <w:p w:rsidR="006F318B" w:rsidRDefault="006F318B" w:rsidP="00217011">
      <w:pPr>
        <w:spacing w:line="360" w:lineRule="auto"/>
        <w:ind w:firstLine="709"/>
        <w:jc w:val="both"/>
        <w:rPr>
          <w:rFonts w:ascii="Arial" w:hAnsi="Arial" w:cs="Arial"/>
          <w:sz w:val="22"/>
        </w:rPr>
      </w:pPr>
      <w:r>
        <w:rPr>
          <w:rFonts w:ascii="Arial" w:hAnsi="Arial" w:cs="Arial"/>
          <w:sz w:val="22"/>
        </w:rPr>
        <w:t>Сборник интересен для широкого круга пользователей, так как содержит всестороннюю экономико-статистическую информацию о развитии Ульяновской области.</w:t>
      </w:r>
    </w:p>
    <w:p w:rsidR="006F318B" w:rsidRDefault="006F318B" w:rsidP="00217011">
      <w:pPr>
        <w:spacing w:line="360" w:lineRule="auto"/>
        <w:ind w:firstLine="709"/>
        <w:jc w:val="both"/>
        <w:rPr>
          <w:rFonts w:ascii="Arial" w:hAnsi="Arial" w:cs="Arial"/>
          <w:sz w:val="22"/>
        </w:rPr>
      </w:pPr>
    </w:p>
    <w:p w:rsidR="006F318B" w:rsidRDefault="006F318B" w:rsidP="00217011">
      <w:pPr>
        <w:pStyle w:val="13"/>
        <w:spacing w:line="360" w:lineRule="auto"/>
        <w:ind w:left="68"/>
        <w:rPr>
          <w:sz w:val="22"/>
        </w:rPr>
      </w:pPr>
    </w:p>
    <w:p w:rsidR="006F318B" w:rsidRDefault="006F318B" w:rsidP="00217011">
      <w:pPr>
        <w:pStyle w:val="13"/>
        <w:spacing w:line="360" w:lineRule="auto"/>
        <w:ind w:left="68"/>
        <w:rPr>
          <w:sz w:val="22"/>
        </w:rPr>
      </w:pPr>
      <w:r>
        <w:rPr>
          <w:sz w:val="22"/>
        </w:rPr>
        <w:t>Согласно "Положению о Федеральной службе государственной статистики", органы государственной статистики являются со</w:t>
      </w:r>
      <w:r>
        <w:rPr>
          <w:sz w:val="22"/>
        </w:rPr>
        <w:t>б</w:t>
      </w:r>
      <w:r>
        <w:rPr>
          <w:sz w:val="22"/>
        </w:rPr>
        <w:t>ственниками собираемой  и разрабатываемой ими статистической информации.  Росстату, его территориальным органам на местах предоставлено исключительное право на издание и распространение  статистической информации.</w:t>
      </w:r>
    </w:p>
    <w:p w:rsidR="006F318B" w:rsidRPr="00EB176F" w:rsidRDefault="006F318B" w:rsidP="00217011">
      <w:pPr>
        <w:spacing w:line="360" w:lineRule="auto"/>
        <w:ind w:firstLine="709"/>
        <w:jc w:val="both"/>
        <w:rPr>
          <w:rFonts w:ascii="Arial" w:hAnsi="Arial" w:cs="Arial"/>
          <w:b/>
          <w:sz w:val="22"/>
        </w:rPr>
      </w:pPr>
      <w:r w:rsidRPr="00EB176F">
        <w:rPr>
          <w:rFonts w:ascii="Arial" w:hAnsi="Arial" w:cs="Arial"/>
          <w:b/>
          <w:sz w:val="22"/>
        </w:rPr>
        <w:t xml:space="preserve">При использовании материалов </w:t>
      </w:r>
      <w:proofErr w:type="spellStart"/>
      <w:r w:rsidRPr="00EB176F">
        <w:rPr>
          <w:rFonts w:ascii="Arial" w:hAnsi="Arial" w:cs="Arial"/>
          <w:b/>
          <w:sz w:val="22"/>
        </w:rPr>
        <w:t>Ульяновскстата</w:t>
      </w:r>
      <w:proofErr w:type="spellEnd"/>
      <w:r w:rsidRPr="00EB176F">
        <w:rPr>
          <w:rFonts w:ascii="Arial" w:hAnsi="Arial" w:cs="Arial"/>
          <w:b/>
          <w:sz w:val="22"/>
        </w:rPr>
        <w:t xml:space="preserve"> в средствах массовой информации ссылка на источник обязательна.</w:t>
      </w:r>
    </w:p>
    <w:p w:rsidR="00A97E1C" w:rsidRPr="006F318B" w:rsidRDefault="00A97E1C">
      <w:pPr>
        <w:pStyle w:val="4"/>
        <w:suppressLineNumbers/>
        <w:spacing w:line="240" w:lineRule="auto"/>
        <w:rPr>
          <w:sz w:val="22"/>
        </w:rPr>
      </w:pPr>
    </w:p>
    <w:p w:rsidR="00A97E1C" w:rsidRDefault="00A97E1C">
      <w:pPr>
        <w:pStyle w:val="4"/>
        <w:suppressLineNumbers/>
        <w:spacing w:line="240" w:lineRule="auto"/>
        <w:rPr>
          <w:sz w:val="22"/>
          <w:lang w:val="ru-MO"/>
        </w:rPr>
      </w:pPr>
    </w:p>
    <w:p w:rsidR="00A97E1C" w:rsidRDefault="0002306A" w:rsidP="00224BD5">
      <w:pPr>
        <w:pStyle w:val="4"/>
        <w:suppressLineNumbers/>
        <w:spacing w:line="240" w:lineRule="auto"/>
        <w:ind w:left="1418" w:firstLine="709"/>
        <w:jc w:val="left"/>
        <w:rPr>
          <w:sz w:val="22"/>
        </w:rPr>
      </w:pPr>
      <w:r>
        <w:rPr>
          <w:sz w:val="22"/>
        </w:rPr>
        <w:br w:type="page"/>
      </w:r>
      <w:r>
        <w:rPr>
          <w:sz w:val="22"/>
        </w:rPr>
        <w:lastRenderedPageBreak/>
        <w:t>Сокращения:</w:t>
      </w:r>
    </w:p>
    <w:p w:rsidR="00A97E1C" w:rsidRDefault="00A97E1C">
      <w:pPr>
        <w:suppressLineNumbers/>
        <w:ind w:firstLine="709"/>
        <w:jc w:val="center"/>
        <w:rPr>
          <w:rFonts w:ascii="Arial" w:hAnsi="Arial"/>
          <w:sz w:val="22"/>
        </w:rPr>
      </w:pPr>
    </w:p>
    <w:tbl>
      <w:tblPr>
        <w:tblW w:w="3714" w:type="pct"/>
        <w:tblInd w:w="2235" w:type="dxa"/>
        <w:tblLook w:val="0000" w:firstRow="0" w:lastRow="0" w:firstColumn="0" w:lastColumn="0" w:noHBand="0" w:noVBand="0"/>
      </w:tblPr>
      <w:tblGrid>
        <w:gridCol w:w="5019"/>
        <w:gridCol w:w="5755"/>
      </w:tblGrid>
      <w:tr w:rsidR="00A97E1C" w:rsidTr="00224BD5">
        <w:tc>
          <w:tcPr>
            <w:tcW w:w="2329" w:type="pct"/>
          </w:tcPr>
          <w:p w:rsidR="00A97E1C" w:rsidRDefault="0002306A">
            <w:pPr>
              <w:suppressLineNumbers/>
              <w:rPr>
                <w:rFonts w:ascii="Arial" w:hAnsi="Arial"/>
                <w:sz w:val="22"/>
              </w:rPr>
            </w:pPr>
            <w:proofErr w:type="gramStart"/>
            <w:r>
              <w:rPr>
                <w:rFonts w:ascii="Arial" w:hAnsi="Arial"/>
                <w:sz w:val="22"/>
              </w:rPr>
              <w:t>м</w:t>
            </w:r>
            <w:proofErr w:type="gramEnd"/>
            <w:r>
              <w:rPr>
                <w:rFonts w:ascii="Arial" w:hAnsi="Arial"/>
                <w:sz w:val="22"/>
              </w:rPr>
              <w:t xml:space="preserve"> – метр</w:t>
            </w:r>
          </w:p>
        </w:tc>
        <w:tc>
          <w:tcPr>
            <w:tcW w:w="2671" w:type="pct"/>
          </w:tcPr>
          <w:p w:rsidR="00A97E1C" w:rsidRDefault="0002306A">
            <w:pPr>
              <w:suppressLineNumbers/>
              <w:ind w:firstLine="1211"/>
              <w:rPr>
                <w:rFonts w:ascii="Arial" w:hAnsi="Arial"/>
                <w:sz w:val="22"/>
              </w:rPr>
            </w:pPr>
            <w:r>
              <w:rPr>
                <w:rFonts w:ascii="Arial" w:hAnsi="Arial"/>
                <w:sz w:val="22"/>
              </w:rPr>
              <w:t>долл. – доллар</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proofErr w:type="gramStart"/>
            <w:r>
              <w:rPr>
                <w:rFonts w:ascii="Arial" w:hAnsi="Arial"/>
                <w:sz w:val="22"/>
              </w:rPr>
              <w:t>м</w:t>
            </w:r>
            <w:proofErr w:type="gramEnd"/>
            <w:r>
              <w:rPr>
                <w:rFonts w:ascii="Arial" w:hAnsi="Arial"/>
                <w:position w:val="4"/>
                <w:sz w:val="22"/>
              </w:rPr>
              <w:sym w:font="Symbol" w:char="F032"/>
            </w:r>
            <w:r>
              <w:rPr>
                <w:rFonts w:ascii="Arial" w:hAnsi="Arial"/>
                <w:sz w:val="22"/>
              </w:rPr>
              <w:t>– квадратный метр</w:t>
            </w:r>
          </w:p>
        </w:tc>
        <w:tc>
          <w:tcPr>
            <w:tcW w:w="2671" w:type="pct"/>
          </w:tcPr>
          <w:p w:rsidR="00A97E1C" w:rsidRDefault="0002306A">
            <w:pPr>
              <w:suppressLineNumbers/>
              <w:ind w:firstLine="1211"/>
              <w:rPr>
                <w:rFonts w:ascii="Arial" w:hAnsi="Arial"/>
                <w:sz w:val="22"/>
              </w:rPr>
            </w:pPr>
            <w:r>
              <w:rPr>
                <w:rFonts w:ascii="Arial" w:hAnsi="Arial"/>
                <w:sz w:val="22"/>
              </w:rPr>
              <w:t>г. – год</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r>
              <w:rPr>
                <w:rFonts w:ascii="Arial" w:hAnsi="Arial"/>
                <w:sz w:val="22"/>
              </w:rPr>
              <w:t>м</w:t>
            </w:r>
            <w:r>
              <w:rPr>
                <w:rFonts w:ascii="Arial" w:hAnsi="Arial"/>
                <w:position w:val="4"/>
                <w:sz w:val="22"/>
              </w:rPr>
              <w:t xml:space="preserve">3 </w:t>
            </w:r>
            <w:r>
              <w:rPr>
                <w:rFonts w:ascii="Arial" w:hAnsi="Arial"/>
                <w:sz w:val="22"/>
              </w:rPr>
              <w:t>– кубический метр</w:t>
            </w:r>
          </w:p>
        </w:tc>
        <w:tc>
          <w:tcPr>
            <w:tcW w:w="2671" w:type="pct"/>
          </w:tcPr>
          <w:p w:rsidR="00A97E1C" w:rsidRDefault="0002306A">
            <w:pPr>
              <w:suppressLineNumbers/>
              <w:ind w:firstLine="1211"/>
              <w:rPr>
                <w:rFonts w:ascii="Arial" w:hAnsi="Arial"/>
                <w:sz w:val="22"/>
              </w:rPr>
            </w:pPr>
            <w:r>
              <w:rPr>
                <w:rFonts w:ascii="Arial" w:hAnsi="Arial"/>
                <w:sz w:val="22"/>
              </w:rPr>
              <w:t>шт. – штука</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proofErr w:type="gramStart"/>
            <w:r>
              <w:rPr>
                <w:rFonts w:ascii="Arial" w:hAnsi="Arial"/>
                <w:sz w:val="22"/>
              </w:rPr>
              <w:t>км</w:t>
            </w:r>
            <w:proofErr w:type="gramEnd"/>
            <w:r>
              <w:rPr>
                <w:rFonts w:ascii="Arial" w:hAnsi="Arial"/>
                <w:sz w:val="22"/>
              </w:rPr>
              <w:t xml:space="preserve"> – километр</w:t>
            </w:r>
          </w:p>
        </w:tc>
        <w:tc>
          <w:tcPr>
            <w:tcW w:w="2671" w:type="pct"/>
          </w:tcPr>
          <w:p w:rsidR="00A97E1C" w:rsidRDefault="0002306A">
            <w:pPr>
              <w:suppressLineNumbers/>
              <w:ind w:firstLine="1211"/>
              <w:rPr>
                <w:rFonts w:ascii="Arial" w:hAnsi="Arial"/>
                <w:sz w:val="22"/>
              </w:rPr>
            </w:pPr>
            <w:proofErr w:type="gramStart"/>
            <w:r>
              <w:rPr>
                <w:rFonts w:ascii="Arial" w:hAnsi="Arial"/>
                <w:sz w:val="22"/>
              </w:rPr>
              <w:t>л</w:t>
            </w:r>
            <w:proofErr w:type="gramEnd"/>
            <w:r>
              <w:rPr>
                <w:rFonts w:ascii="Arial" w:hAnsi="Arial"/>
                <w:sz w:val="22"/>
              </w:rPr>
              <w:t xml:space="preserve"> – литр</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proofErr w:type="gramStart"/>
            <w:r>
              <w:rPr>
                <w:rFonts w:ascii="Arial" w:hAnsi="Arial"/>
                <w:sz w:val="22"/>
              </w:rPr>
              <w:t>км</w:t>
            </w:r>
            <w:proofErr w:type="gramEnd"/>
            <w:r>
              <w:rPr>
                <w:rFonts w:ascii="Arial" w:hAnsi="Arial"/>
                <w:position w:val="4"/>
                <w:sz w:val="22"/>
              </w:rPr>
              <w:sym w:font="Symbol" w:char="F032"/>
            </w:r>
            <w:r>
              <w:rPr>
                <w:rFonts w:ascii="Arial" w:hAnsi="Arial"/>
                <w:sz w:val="22"/>
              </w:rPr>
              <w:t>– квадратный километр</w:t>
            </w:r>
          </w:p>
        </w:tc>
        <w:tc>
          <w:tcPr>
            <w:tcW w:w="2671" w:type="pct"/>
          </w:tcPr>
          <w:p w:rsidR="00A97E1C" w:rsidRDefault="0002306A">
            <w:pPr>
              <w:suppressLineNumbers/>
              <w:ind w:firstLine="1211"/>
              <w:rPr>
                <w:rFonts w:ascii="Arial" w:hAnsi="Arial"/>
                <w:sz w:val="22"/>
              </w:rPr>
            </w:pPr>
            <w:r>
              <w:rPr>
                <w:rFonts w:ascii="Arial" w:hAnsi="Arial"/>
                <w:sz w:val="22"/>
              </w:rPr>
              <w:t>кВт – киловатт</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r>
              <w:rPr>
                <w:rFonts w:ascii="Arial" w:hAnsi="Arial"/>
                <w:sz w:val="22"/>
              </w:rPr>
              <w:t>км</w:t>
            </w:r>
            <w:r>
              <w:rPr>
                <w:rFonts w:ascii="Arial" w:hAnsi="Arial"/>
                <w:position w:val="4"/>
                <w:sz w:val="22"/>
              </w:rPr>
              <w:t xml:space="preserve">3 </w:t>
            </w:r>
            <w:r>
              <w:rPr>
                <w:rFonts w:ascii="Arial" w:hAnsi="Arial"/>
                <w:sz w:val="22"/>
              </w:rPr>
              <w:t>– кубический километр</w:t>
            </w:r>
          </w:p>
        </w:tc>
        <w:tc>
          <w:tcPr>
            <w:tcW w:w="2671" w:type="pct"/>
          </w:tcPr>
          <w:p w:rsidR="00A97E1C" w:rsidRDefault="0002306A">
            <w:pPr>
              <w:suppressLineNumbers/>
              <w:ind w:firstLine="1211"/>
              <w:rPr>
                <w:rFonts w:ascii="Arial" w:hAnsi="Arial"/>
                <w:sz w:val="22"/>
              </w:rPr>
            </w:pPr>
            <w:proofErr w:type="gramStart"/>
            <w:r>
              <w:rPr>
                <w:rFonts w:ascii="Arial" w:hAnsi="Arial"/>
                <w:sz w:val="22"/>
              </w:rPr>
              <w:t>кВт-ч</w:t>
            </w:r>
            <w:proofErr w:type="gramEnd"/>
            <w:r>
              <w:rPr>
                <w:rFonts w:ascii="Arial" w:hAnsi="Arial"/>
                <w:sz w:val="22"/>
              </w:rPr>
              <w:t xml:space="preserve"> – киловатт-час</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proofErr w:type="gramStart"/>
            <w:r>
              <w:rPr>
                <w:rFonts w:ascii="Arial" w:hAnsi="Arial"/>
                <w:sz w:val="22"/>
              </w:rPr>
              <w:t>кг</w:t>
            </w:r>
            <w:proofErr w:type="gramEnd"/>
            <w:r>
              <w:rPr>
                <w:rFonts w:ascii="Arial" w:hAnsi="Arial"/>
                <w:sz w:val="22"/>
              </w:rPr>
              <w:t xml:space="preserve"> – килограмм</w:t>
            </w:r>
          </w:p>
        </w:tc>
        <w:tc>
          <w:tcPr>
            <w:tcW w:w="2671" w:type="pct"/>
          </w:tcPr>
          <w:p w:rsidR="00A97E1C" w:rsidRDefault="0002306A">
            <w:pPr>
              <w:suppressLineNumbers/>
              <w:ind w:firstLine="1211"/>
              <w:rPr>
                <w:rFonts w:ascii="Arial" w:hAnsi="Arial"/>
                <w:sz w:val="22"/>
              </w:rPr>
            </w:pPr>
            <w:r>
              <w:rPr>
                <w:rFonts w:ascii="Arial" w:hAnsi="Arial"/>
                <w:sz w:val="22"/>
              </w:rPr>
              <w:t>р. – раз</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r>
              <w:rPr>
                <w:rFonts w:ascii="Arial" w:hAnsi="Arial"/>
                <w:sz w:val="22"/>
              </w:rPr>
              <w:t>т – тонна</w:t>
            </w:r>
          </w:p>
        </w:tc>
        <w:tc>
          <w:tcPr>
            <w:tcW w:w="2671" w:type="pct"/>
          </w:tcPr>
          <w:p w:rsidR="00A97E1C" w:rsidRDefault="0002306A">
            <w:pPr>
              <w:suppressLineNumbers/>
              <w:ind w:firstLine="1211"/>
              <w:rPr>
                <w:rFonts w:ascii="Arial" w:hAnsi="Arial"/>
                <w:sz w:val="22"/>
              </w:rPr>
            </w:pPr>
            <w:r>
              <w:rPr>
                <w:rFonts w:ascii="Arial" w:hAnsi="Arial"/>
                <w:sz w:val="22"/>
              </w:rPr>
              <w:t>тыс. – тысяча</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r>
              <w:rPr>
                <w:rFonts w:ascii="Arial" w:hAnsi="Arial"/>
                <w:sz w:val="22"/>
              </w:rPr>
              <w:t>т-км – тонно-километр</w:t>
            </w:r>
          </w:p>
        </w:tc>
        <w:tc>
          <w:tcPr>
            <w:tcW w:w="2671" w:type="pct"/>
          </w:tcPr>
          <w:p w:rsidR="00A97E1C" w:rsidRDefault="0002306A">
            <w:pPr>
              <w:suppressLineNumbers/>
              <w:ind w:firstLine="1211"/>
              <w:rPr>
                <w:rFonts w:ascii="Arial" w:hAnsi="Arial"/>
                <w:sz w:val="22"/>
              </w:rPr>
            </w:pPr>
            <w:r>
              <w:rPr>
                <w:rFonts w:ascii="Arial" w:hAnsi="Arial"/>
                <w:sz w:val="22"/>
              </w:rPr>
              <w:t>млн. – миллион</w:t>
            </w:r>
          </w:p>
        </w:tc>
      </w:tr>
      <w:tr w:rsidR="00A97E1C" w:rsidTr="00224BD5">
        <w:tc>
          <w:tcPr>
            <w:tcW w:w="2329" w:type="pct"/>
          </w:tcPr>
          <w:p w:rsidR="00A97E1C" w:rsidRDefault="00A97E1C">
            <w:pPr>
              <w:suppressLineNumbers/>
              <w:rPr>
                <w:rFonts w:ascii="Arial" w:hAnsi="Arial"/>
                <w:sz w:val="22"/>
              </w:rPr>
            </w:pPr>
          </w:p>
        </w:tc>
        <w:tc>
          <w:tcPr>
            <w:tcW w:w="2671" w:type="pct"/>
          </w:tcPr>
          <w:p w:rsidR="00A97E1C" w:rsidRDefault="00A97E1C">
            <w:pPr>
              <w:suppressLineNumbers/>
              <w:ind w:firstLine="1211"/>
              <w:rPr>
                <w:rFonts w:ascii="Arial" w:hAnsi="Arial"/>
                <w:sz w:val="22"/>
              </w:rPr>
            </w:pPr>
          </w:p>
        </w:tc>
      </w:tr>
      <w:tr w:rsidR="00A97E1C" w:rsidTr="00224BD5">
        <w:tc>
          <w:tcPr>
            <w:tcW w:w="2329" w:type="pct"/>
          </w:tcPr>
          <w:p w:rsidR="00A97E1C" w:rsidRDefault="0002306A">
            <w:pPr>
              <w:suppressLineNumbers/>
              <w:rPr>
                <w:rFonts w:ascii="Arial" w:hAnsi="Arial"/>
                <w:sz w:val="22"/>
              </w:rPr>
            </w:pPr>
            <w:r>
              <w:rPr>
                <w:rFonts w:ascii="Arial" w:hAnsi="Arial"/>
                <w:sz w:val="22"/>
              </w:rPr>
              <w:t>руб. – рубль</w:t>
            </w:r>
          </w:p>
        </w:tc>
        <w:tc>
          <w:tcPr>
            <w:tcW w:w="2671" w:type="pct"/>
          </w:tcPr>
          <w:p w:rsidR="00A97E1C" w:rsidRDefault="0002306A">
            <w:pPr>
              <w:suppressLineNumbers/>
              <w:ind w:firstLine="1211"/>
              <w:rPr>
                <w:rFonts w:ascii="Arial" w:hAnsi="Arial"/>
                <w:sz w:val="22"/>
              </w:rPr>
            </w:pPr>
            <w:r>
              <w:rPr>
                <w:rFonts w:ascii="Arial" w:hAnsi="Arial"/>
                <w:sz w:val="22"/>
              </w:rPr>
              <w:t>млрд. – миллиард</w:t>
            </w:r>
          </w:p>
        </w:tc>
      </w:tr>
    </w:tbl>
    <w:p w:rsidR="00A97E1C" w:rsidRDefault="00A97E1C">
      <w:pPr>
        <w:pStyle w:val="a9"/>
        <w:spacing w:line="240" w:lineRule="auto"/>
        <w:jc w:val="center"/>
        <w:rPr>
          <w:sz w:val="22"/>
        </w:rPr>
      </w:pPr>
    </w:p>
    <w:p w:rsidR="00A97E1C" w:rsidRDefault="00A97E1C">
      <w:pPr>
        <w:pStyle w:val="a9"/>
        <w:spacing w:line="240" w:lineRule="auto"/>
        <w:jc w:val="center"/>
        <w:rPr>
          <w:sz w:val="22"/>
          <w:lang w:val="ru-MO"/>
        </w:rPr>
      </w:pPr>
    </w:p>
    <w:p w:rsidR="00A97E1C" w:rsidRDefault="0002306A" w:rsidP="00224BD5">
      <w:pPr>
        <w:suppressLineNumbers/>
        <w:ind w:left="1701" w:firstLine="1134"/>
        <w:jc w:val="both"/>
        <w:rPr>
          <w:rFonts w:ascii="Arial" w:hAnsi="Arial"/>
          <w:b/>
          <w:sz w:val="22"/>
        </w:rPr>
      </w:pPr>
      <w:r>
        <w:rPr>
          <w:rFonts w:ascii="Arial" w:hAnsi="Arial"/>
          <w:b/>
          <w:sz w:val="22"/>
        </w:rPr>
        <w:t>Условные обозначения:</w:t>
      </w:r>
    </w:p>
    <w:p w:rsidR="00A97E1C" w:rsidRDefault="00A97E1C" w:rsidP="00224BD5">
      <w:pPr>
        <w:suppressLineNumbers/>
        <w:ind w:left="1701" w:firstLine="1134"/>
        <w:jc w:val="both"/>
        <w:rPr>
          <w:rFonts w:ascii="Arial" w:hAnsi="Arial"/>
          <w:sz w:val="22"/>
        </w:rPr>
      </w:pPr>
    </w:p>
    <w:p w:rsidR="00A97E1C" w:rsidRDefault="0002306A" w:rsidP="00224BD5">
      <w:pPr>
        <w:suppressLineNumbers/>
        <w:ind w:left="1701" w:firstLine="1134"/>
        <w:jc w:val="both"/>
        <w:rPr>
          <w:rFonts w:ascii="Arial" w:hAnsi="Arial"/>
          <w:sz w:val="22"/>
        </w:rPr>
      </w:pPr>
      <w:r>
        <w:rPr>
          <w:rFonts w:ascii="Arial" w:hAnsi="Arial"/>
          <w:sz w:val="22"/>
          <w:lang w:val="ru-MO"/>
        </w:rPr>
        <w:t>–</w:t>
      </w:r>
      <w:r>
        <w:rPr>
          <w:rFonts w:ascii="Arial" w:hAnsi="Arial"/>
          <w:sz w:val="22"/>
        </w:rPr>
        <w:t xml:space="preserve">  явление отсутствует</w:t>
      </w:r>
    </w:p>
    <w:p w:rsidR="00A97E1C" w:rsidRDefault="00A97E1C" w:rsidP="00224BD5">
      <w:pPr>
        <w:suppressLineNumbers/>
        <w:ind w:left="1701" w:firstLine="1134"/>
        <w:jc w:val="both"/>
        <w:rPr>
          <w:rFonts w:ascii="Arial" w:hAnsi="Arial"/>
          <w:sz w:val="22"/>
        </w:rPr>
      </w:pPr>
    </w:p>
    <w:p w:rsidR="00A97E1C" w:rsidRDefault="0002306A" w:rsidP="00224BD5">
      <w:pPr>
        <w:suppressLineNumbers/>
        <w:ind w:left="1701" w:firstLine="1134"/>
        <w:jc w:val="both"/>
        <w:rPr>
          <w:rFonts w:ascii="Arial" w:hAnsi="Arial"/>
          <w:sz w:val="22"/>
        </w:rPr>
      </w:pPr>
      <w:r>
        <w:rPr>
          <w:rFonts w:ascii="Arial" w:hAnsi="Arial"/>
          <w:sz w:val="22"/>
        </w:rPr>
        <w:t>… данных не имеется</w:t>
      </w:r>
    </w:p>
    <w:p w:rsidR="00A97E1C" w:rsidRDefault="00A97E1C" w:rsidP="00224BD5">
      <w:pPr>
        <w:suppressLineNumbers/>
        <w:ind w:left="1701" w:firstLine="1134"/>
        <w:jc w:val="both"/>
        <w:rPr>
          <w:rFonts w:ascii="Arial" w:hAnsi="Arial"/>
          <w:sz w:val="22"/>
        </w:rPr>
      </w:pPr>
    </w:p>
    <w:p w:rsidR="00A97E1C" w:rsidRDefault="0002306A" w:rsidP="00224BD5">
      <w:pPr>
        <w:suppressLineNumbers/>
        <w:ind w:left="1701" w:firstLine="1134"/>
        <w:jc w:val="both"/>
        <w:rPr>
          <w:rFonts w:ascii="Arial" w:hAnsi="Arial"/>
          <w:sz w:val="22"/>
        </w:rPr>
      </w:pPr>
      <w:r>
        <w:rPr>
          <w:rFonts w:ascii="Arial" w:hAnsi="Arial"/>
          <w:sz w:val="22"/>
        </w:rPr>
        <w:t>0,0 величина явления меньше единицы измерения</w:t>
      </w:r>
    </w:p>
    <w:p w:rsidR="00ED7E9D" w:rsidRDefault="00ED7E9D" w:rsidP="00224BD5">
      <w:pPr>
        <w:suppressLineNumbers/>
        <w:ind w:left="1701" w:firstLine="1134"/>
        <w:jc w:val="both"/>
        <w:rPr>
          <w:rFonts w:ascii="Arial" w:hAnsi="Arial"/>
          <w:sz w:val="22"/>
        </w:rPr>
      </w:pPr>
    </w:p>
    <w:p w:rsidR="00A97E1C" w:rsidRDefault="00A97E1C">
      <w:pPr>
        <w:suppressLineNumbers/>
        <w:ind w:left="709"/>
        <w:jc w:val="both"/>
        <w:rPr>
          <w:rFonts w:ascii="Arial" w:hAnsi="Arial"/>
          <w:sz w:val="22"/>
        </w:rPr>
      </w:pPr>
    </w:p>
    <w:p w:rsidR="00A97E1C" w:rsidRDefault="00A97E1C">
      <w:pPr>
        <w:suppressLineNumbers/>
        <w:ind w:left="709"/>
        <w:jc w:val="both"/>
        <w:rPr>
          <w:rFonts w:ascii="Arial" w:hAnsi="Arial"/>
          <w:sz w:val="22"/>
        </w:rPr>
      </w:pPr>
    </w:p>
    <w:p w:rsidR="00A97E1C" w:rsidRDefault="0002306A" w:rsidP="00224BD5">
      <w:pPr>
        <w:pStyle w:val="32"/>
        <w:spacing w:line="240" w:lineRule="auto"/>
        <w:ind w:firstLine="709"/>
        <w:jc w:val="center"/>
        <w:rPr>
          <w:sz w:val="22"/>
        </w:rPr>
      </w:pPr>
      <w:r>
        <w:rPr>
          <w:sz w:val="22"/>
        </w:rPr>
        <w:t>В отдельных случаях незначительные расхождения между итогом и суммой слагаемых объясняется округлением данных.</w:t>
      </w:r>
    </w:p>
    <w:p w:rsidR="00A97E1C" w:rsidRDefault="0002306A">
      <w:pPr>
        <w:pStyle w:val="a9"/>
        <w:spacing w:line="240" w:lineRule="auto"/>
        <w:jc w:val="center"/>
        <w:rPr>
          <w:sz w:val="24"/>
        </w:rPr>
      </w:pPr>
      <w:r>
        <w:br w:type="page"/>
      </w:r>
      <w:r>
        <w:rPr>
          <w:b/>
          <w:bCs/>
          <w:i/>
          <w:iCs/>
          <w:sz w:val="24"/>
        </w:rPr>
        <w:lastRenderedPageBreak/>
        <w:t>СОДЕРЖАНИЕ</w:t>
      </w:r>
    </w:p>
    <w:p w:rsidR="00A97E1C" w:rsidRDefault="00A97E1C">
      <w:pPr>
        <w:pStyle w:val="1"/>
      </w:pPr>
    </w:p>
    <w:p w:rsidR="00A97E1C" w:rsidRDefault="00A97E1C"/>
    <w:p w:rsidR="00A97E1C" w:rsidRDefault="00A97E1C">
      <w:pPr>
        <w:pStyle w:val="a5"/>
        <w:tabs>
          <w:tab w:val="clear" w:pos="4153"/>
          <w:tab w:val="clear" w:pos="8306"/>
        </w:tabs>
      </w:pPr>
    </w:p>
    <w:p w:rsidR="00A97E1C" w:rsidRDefault="00A97E1C"/>
    <w:p w:rsidR="00217011" w:rsidRDefault="007F3D68">
      <w:pPr>
        <w:pStyle w:val="11"/>
        <w:tabs>
          <w:tab w:val="right" w:leader="underscore" w:pos="14278"/>
        </w:tabs>
        <w:rPr>
          <w:rFonts w:asciiTheme="minorHAnsi" w:eastAsiaTheme="minorEastAsia" w:hAnsiTheme="minorHAnsi" w:cstheme="minorBidi"/>
          <w:b w:val="0"/>
          <w:bCs w:val="0"/>
          <w:i w:val="0"/>
          <w:iCs w:val="0"/>
          <w:noProof/>
          <w:sz w:val="22"/>
          <w:szCs w:val="22"/>
        </w:rPr>
      </w:pPr>
      <w:r>
        <w:rPr>
          <w:lang w:val="en-US"/>
        </w:rPr>
        <w:fldChar w:fldCharType="begin"/>
      </w:r>
      <w:r w:rsidR="0002306A">
        <w:rPr>
          <w:lang w:val="en-US"/>
        </w:rPr>
        <w:instrText xml:space="preserve"> TOC \o "1-1" \h \z </w:instrText>
      </w:r>
      <w:r>
        <w:rPr>
          <w:lang w:val="en-US"/>
        </w:rPr>
        <w:fldChar w:fldCharType="separate"/>
      </w:r>
      <w:hyperlink w:anchor="_Toc309826880" w:history="1">
        <w:r w:rsidR="00217011" w:rsidRPr="00116B2B">
          <w:rPr>
            <w:rStyle w:val="af"/>
            <w:noProof/>
          </w:rPr>
          <w:t>ПРЕДИСЛОВИЕ</w:t>
        </w:r>
        <w:r w:rsidR="00217011">
          <w:rPr>
            <w:noProof/>
            <w:webHidden/>
          </w:rPr>
          <w:tab/>
        </w:r>
        <w:r>
          <w:rPr>
            <w:noProof/>
            <w:webHidden/>
          </w:rPr>
          <w:fldChar w:fldCharType="begin"/>
        </w:r>
        <w:r w:rsidR="00217011">
          <w:rPr>
            <w:noProof/>
            <w:webHidden/>
          </w:rPr>
          <w:instrText xml:space="preserve"> PAGEREF _Toc309826880 \h </w:instrText>
        </w:r>
        <w:r>
          <w:rPr>
            <w:noProof/>
            <w:webHidden/>
          </w:rPr>
        </w:r>
        <w:r>
          <w:rPr>
            <w:noProof/>
            <w:webHidden/>
          </w:rPr>
          <w:fldChar w:fldCharType="separate"/>
        </w:r>
        <w:r w:rsidR="00A3751D">
          <w:rPr>
            <w:noProof/>
            <w:webHidden/>
          </w:rPr>
          <w:t>3</w:t>
        </w:r>
        <w:r>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1" w:history="1">
        <w:r w:rsidR="00217011" w:rsidRPr="00116B2B">
          <w:rPr>
            <w:rStyle w:val="af"/>
            <w:rFonts w:cs="Arial"/>
            <w:noProof/>
          </w:rPr>
          <w:t>НАРОДНОЕ ХОЗЯЙСТВО ОБЛАСТИ В ГОДЫ  ВЕЛИКОЙ ОТЕЧЕСТВЕННОЙ ВОЙНЫ</w:t>
        </w:r>
        <w:r w:rsidR="00217011">
          <w:rPr>
            <w:noProof/>
            <w:webHidden/>
          </w:rPr>
          <w:tab/>
        </w:r>
        <w:r w:rsidR="007F3D68">
          <w:rPr>
            <w:noProof/>
            <w:webHidden/>
          </w:rPr>
          <w:fldChar w:fldCharType="begin"/>
        </w:r>
        <w:r w:rsidR="00217011">
          <w:rPr>
            <w:noProof/>
            <w:webHidden/>
          </w:rPr>
          <w:instrText xml:space="preserve"> PAGEREF _Toc309826881 \h </w:instrText>
        </w:r>
        <w:r w:rsidR="007F3D68">
          <w:rPr>
            <w:noProof/>
            <w:webHidden/>
          </w:rPr>
        </w:r>
        <w:r w:rsidR="007F3D68">
          <w:rPr>
            <w:noProof/>
            <w:webHidden/>
          </w:rPr>
          <w:fldChar w:fldCharType="separate"/>
        </w:r>
        <w:r w:rsidR="00A3751D">
          <w:rPr>
            <w:noProof/>
            <w:webHidden/>
          </w:rPr>
          <w:t>7</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2" w:history="1">
        <w:r w:rsidR="00217011" w:rsidRPr="00116B2B">
          <w:rPr>
            <w:rStyle w:val="af"/>
            <w:rFonts w:cs="Arial"/>
            <w:noProof/>
          </w:rPr>
          <w:t>РАЗВИТИЕ ЭКОНОМИКИ ОБЛАСТИ  в 1945 – 2010 годы</w:t>
        </w:r>
        <w:r w:rsidR="00217011">
          <w:rPr>
            <w:noProof/>
            <w:webHidden/>
          </w:rPr>
          <w:tab/>
        </w:r>
        <w:r w:rsidR="007F3D68">
          <w:rPr>
            <w:noProof/>
            <w:webHidden/>
          </w:rPr>
          <w:fldChar w:fldCharType="begin"/>
        </w:r>
        <w:r w:rsidR="00217011">
          <w:rPr>
            <w:noProof/>
            <w:webHidden/>
          </w:rPr>
          <w:instrText xml:space="preserve"> PAGEREF _Toc309826882 \h </w:instrText>
        </w:r>
        <w:r w:rsidR="007F3D68">
          <w:rPr>
            <w:noProof/>
            <w:webHidden/>
          </w:rPr>
        </w:r>
        <w:r w:rsidR="007F3D68">
          <w:rPr>
            <w:noProof/>
            <w:webHidden/>
          </w:rPr>
          <w:fldChar w:fldCharType="separate"/>
        </w:r>
        <w:r w:rsidR="00A3751D">
          <w:rPr>
            <w:noProof/>
            <w:webHidden/>
          </w:rPr>
          <w:t>10</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3" w:history="1">
        <w:r w:rsidR="00217011" w:rsidRPr="00116B2B">
          <w:rPr>
            <w:rStyle w:val="af"/>
            <w:noProof/>
          </w:rPr>
          <w:t>АДМИНИСТРАТИВНО – ТЕРРИТОРИАЛЬНОЕ  ДЕЛЕНИЕ</w:t>
        </w:r>
        <w:r w:rsidR="00217011">
          <w:rPr>
            <w:noProof/>
            <w:webHidden/>
          </w:rPr>
          <w:tab/>
        </w:r>
        <w:r w:rsidR="007F3D68">
          <w:rPr>
            <w:noProof/>
            <w:webHidden/>
          </w:rPr>
          <w:fldChar w:fldCharType="begin"/>
        </w:r>
        <w:r w:rsidR="00217011">
          <w:rPr>
            <w:noProof/>
            <w:webHidden/>
          </w:rPr>
          <w:instrText xml:space="preserve"> PAGEREF _Toc309826883 \h </w:instrText>
        </w:r>
        <w:r w:rsidR="007F3D68">
          <w:rPr>
            <w:noProof/>
            <w:webHidden/>
          </w:rPr>
        </w:r>
        <w:r w:rsidR="007F3D68">
          <w:rPr>
            <w:noProof/>
            <w:webHidden/>
          </w:rPr>
          <w:fldChar w:fldCharType="separate"/>
        </w:r>
        <w:r w:rsidR="00A3751D">
          <w:rPr>
            <w:noProof/>
            <w:webHidden/>
          </w:rPr>
          <w:t>20</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4" w:history="1">
        <w:r w:rsidR="00217011" w:rsidRPr="00116B2B">
          <w:rPr>
            <w:rStyle w:val="af"/>
            <w:noProof/>
          </w:rPr>
          <w:t>НАСЕЛЕНИЕ</w:t>
        </w:r>
        <w:r w:rsidR="00217011">
          <w:rPr>
            <w:noProof/>
            <w:webHidden/>
          </w:rPr>
          <w:tab/>
        </w:r>
        <w:r w:rsidR="007F3D68">
          <w:rPr>
            <w:noProof/>
            <w:webHidden/>
          </w:rPr>
          <w:fldChar w:fldCharType="begin"/>
        </w:r>
        <w:r w:rsidR="00217011">
          <w:rPr>
            <w:noProof/>
            <w:webHidden/>
          </w:rPr>
          <w:instrText xml:space="preserve"> PAGEREF _Toc309826884 \h </w:instrText>
        </w:r>
        <w:r w:rsidR="007F3D68">
          <w:rPr>
            <w:noProof/>
            <w:webHidden/>
          </w:rPr>
        </w:r>
        <w:r w:rsidR="007F3D68">
          <w:rPr>
            <w:noProof/>
            <w:webHidden/>
          </w:rPr>
          <w:fldChar w:fldCharType="separate"/>
        </w:r>
        <w:r w:rsidR="00A3751D">
          <w:rPr>
            <w:noProof/>
            <w:webHidden/>
          </w:rPr>
          <w:t>26</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5" w:history="1">
        <w:r w:rsidR="00217011" w:rsidRPr="00116B2B">
          <w:rPr>
            <w:rStyle w:val="af"/>
            <w:noProof/>
          </w:rPr>
          <w:t>ТРУД</w:t>
        </w:r>
        <w:r w:rsidR="00217011">
          <w:rPr>
            <w:noProof/>
            <w:webHidden/>
          </w:rPr>
          <w:tab/>
        </w:r>
        <w:r w:rsidR="007F3D68">
          <w:rPr>
            <w:noProof/>
            <w:webHidden/>
          </w:rPr>
          <w:fldChar w:fldCharType="begin"/>
        </w:r>
        <w:r w:rsidR="00217011">
          <w:rPr>
            <w:noProof/>
            <w:webHidden/>
          </w:rPr>
          <w:instrText xml:space="preserve"> PAGEREF _Toc309826885 \h </w:instrText>
        </w:r>
        <w:r w:rsidR="007F3D68">
          <w:rPr>
            <w:noProof/>
            <w:webHidden/>
          </w:rPr>
        </w:r>
        <w:r w:rsidR="007F3D68">
          <w:rPr>
            <w:noProof/>
            <w:webHidden/>
          </w:rPr>
          <w:fldChar w:fldCharType="separate"/>
        </w:r>
        <w:r w:rsidR="00A3751D">
          <w:rPr>
            <w:noProof/>
            <w:webHidden/>
          </w:rPr>
          <w:t>28</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6" w:history="1">
        <w:r w:rsidR="00217011" w:rsidRPr="00116B2B">
          <w:rPr>
            <w:rStyle w:val="af"/>
            <w:noProof/>
          </w:rPr>
          <w:t>ДЕНЕЖНЫЕ  ДОХОДЫ  И  РАСХОДЫ НАСЕЛЕНИЯ</w:t>
        </w:r>
        <w:r w:rsidR="00217011">
          <w:rPr>
            <w:noProof/>
            <w:webHidden/>
          </w:rPr>
          <w:tab/>
        </w:r>
        <w:r w:rsidR="007F3D68">
          <w:rPr>
            <w:noProof/>
            <w:webHidden/>
          </w:rPr>
          <w:fldChar w:fldCharType="begin"/>
        </w:r>
        <w:r w:rsidR="00217011">
          <w:rPr>
            <w:noProof/>
            <w:webHidden/>
          </w:rPr>
          <w:instrText xml:space="preserve"> PAGEREF _Toc309826886 \h </w:instrText>
        </w:r>
        <w:r w:rsidR="007F3D68">
          <w:rPr>
            <w:noProof/>
            <w:webHidden/>
          </w:rPr>
        </w:r>
        <w:r w:rsidR="007F3D68">
          <w:rPr>
            <w:noProof/>
            <w:webHidden/>
          </w:rPr>
          <w:fldChar w:fldCharType="separate"/>
        </w:r>
        <w:r w:rsidR="00A3751D">
          <w:rPr>
            <w:noProof/>
            <w:webHidden/>
          </w:rPr>
          <w:t>28</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7" w:history="1">
        <w:r w:rsidR="00217011" w:rsidRPr="00116B2B">
          <w:rPr>
            <w:rStyle w:val="af"/>
            <w:noProof/>
          </w:rPr>
          <w:t>ЖИЛИЩНЫЙ ФОНД ОБЛАСТИ</w:t>
        </w:r>
        <w:r w:rsidR="00217011">
          <w:rPr>
            <w:noProof/>
            <w:webHidden/>
          </w:rPr>
          <w:tab/>
        </w:r>
        <w:r w:rsidR="007F3D68">
          <w:rPr>
            <w:noProof/>
            <w:webHidden/>
          </w:rPr>
          <w:fldChar w:fldCharType="begin"/>
        </w:r>
        <w:r w:rsidR="00217011">
          <w:rPr>
            <w:noProof/>
            <w:webHidden/>
          </w:rPr>
          <w:instrText xml:space="preserve"> PAGEREF _Toc309826887 \h </w:instrText>
        </w:r>
        <w:r w:rsidR="007F3D68">
          <w:rPr>
            <w:noProof/>
            <w:webHidden/>
          </w:rPr>
        </w:r>
        <w:r w:rsidR="007F3D68">
          <w:rPr>
            <w:noProof/>
            <w:webHidden/>
          </w:rPr>
          <w:fldChar w:fldCharType="separate"/>
        </w:r>
        <w:r w:rsidR="00A3751D">
          <w:rPr>
            <w:noProof/>
            <w:webHidden/>
          </w:rPr>
          <w:t>30</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8" w:history="1">
        <w:r w:rsidR="00217011" w:rsidRPr="00116B2B">
          <w:rPr>
            <w:rStyle w:val="af"/>
            <w:noProof/>
          </w:rPr>
          <w:t>ОБРАЗОВАНИЕ</w:t>
        </w:r>
        <w:r w:rsidR="00217011">
          <w:rPr>
            <w:noProof/>
            <w:webHidden/>
          </w:rPr>
          <w:tab/>
        </w:r>
        <w:r w:rsidR="007F3D68">
          <w:rPr>
            <w:noProof/>
            <w:webHidden/>
          </w:rPr>
          <w:fldChar w:fldCharType="begin"/>
        </w:r>
        <w:r w:rsidR="00217011">
          <w:rPr>
            <w:noProof/>
            <w:webHidden/>
          </w:rPr>
          <w:instrText xml:space="preserve"> PAGEREF _Toc309826888 \h </w:instrText>
        </w:r>
        <w:r w:rsidR="007F3D68">
          <w:rPr>
            <w:noProof/>
            <w:webHidden/>
          </w:rPr>
        </w:r>
        <w:r w:rsidR="007F3D68">
          <w:rPr>
            <w:noProof/>
            <w:webHidden/>
          </w:rPr>
          <w:fldChar w:fldCharType="separate"/>
        </w:r>
        <w:r w:rsidR="00A3751D">
          <w:rPr>
            <w:noProof/>
            <w:webHidden/>
          </w:rPr>
          <w:t>35</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89" w:history="1">
        <w:r w:rsidR="00217011" w:rsidRPr="00116B2B">
          <w:rPr>
            <w:rStyle w:val="af"/>
            <w:noProof/>
          </w:rPr>
          <w:t>ЗДРАВООХРАНЕНИЕ</w:t>
        </w:r>
        <w:r w:rsidR="00217011">
          <w:rPr>
            <w:noProof/>
            <w:webHidden/>
          </w:rPr>
          <w:tab/>
        </w:r>
        <w:r w:rsidR="007F3D68">
          <w:rPr>
            <w:noProof/>
            <w:webHidden/>
          </w:rPr>
          <w:fldChar w:fldCharType="begin"/>
        </w:r>
        <w:r w:rsidR="00217011">
          <w:rPr>
            <w:noProof/>
            <w:webHidden/>
          </w:rPr>
          <w:instrText xml:space="preserve"> PAGEREF _Toc309826889 \h </w:instrText>
        </w:r>
        <w:r w:rsidR="007F3D68">
          <w:rPr>
            <w:noProof/>
            <w:webHidden/>
          </w:rPr>
        </w:r>
        <w:r w:rsidR="007F3D68">
          <w:rPr>
            <w:noProof/>
            <w:webHidden/>
          </w:rPr>
          <w:fldChar w:fldCharType="separate"/>
        </w:r>
        <w:r w:rsidR="00A3751D">
          <w:rPr>
            <w:noProof/>
            <w:webHidden/>
          </w:rPr>
          <w:t>35</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0" w:history="1">
        <w:r w:rsidR="00217011" w:rsidRPr="00116B2B">
          <w:rPr>
            <w:rStyle w:val="af"/>
            <w:noProof/>
          </w:rPr>
          <w:t>КУЛЬТУРА</w:t>
        </w:r>
        <w:r w:rsidR="00217011">
          <w:rPr>
            <w:noProof/>
            <w:webHidden/>
          </w:rPr>
          <w:tab/>
        </w:r>
        <w:r w:rsidR="007F3D68">
          <w:rPr>
            <w:noProof/>
            <w:webHidden/>
          </w:rPr>
          <w:fldChar w:fldCharType="begin"/>
        </w:r>
        <w:r w:rsidR="00217011">
          <w:rPr>
            <w:noProof/>
            <w:webHidden/>
          </w:rPr>
          <w:instrText xml:space="preserve"> PAGEREF _Toc309826890 \h </w:instrText>
        </w:r>
        <w:r w:rsidR="007F3D68">
          <w:rPr>
            <w:noProof/>
            <w:webHidden/>
          </w:rPr>
        </w:r>
        <w:r w:rsidR="007F3D68">
          <w:rPr>
            <w:noProof/>
            <w:webHidden/>
          </w:rPr>
          <w:fldChar w:fldCharType="separate"/>
        </w:r>
        <w:r w:rsidR="00A3751D">
          <w:rPr>
            <w:noProof/>
            <w:webHidden/>
          </w:rPr>
          <w:t>40</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1" w:history="1">
        <w:r w:rsidR="00217011" w:rsidRPr="00116B2B">
          <w:rPr>
            <w:rStyle w:val="af"/>
            <w:noProof/>
          </w:rPr>
          <w:t>ВАЛОВОЙ РЕГИОНАЛЬНЫЙ ПРОДУКТ</w:t>
        </w:r>
        <w:r w:rsidR="00217011">
          <w:rPr>
            <w:noProof/>
            <w:webHidden/>
          </w:rPr>
          <w:tab/>
        </w:r>
        <w:r w:rsidR="007F3D68">
          <w:rPr>
            <w:noProof/>
            <w:webHidden/>
          </w:rPr>
          <w:fldChar w:fldCharType="begin"/>
        </w:r>
        <w:r w:rsidR="00217011">
          <w:rPr>
            <w:noProof/>
            <w:webHidden/>
          </w:rPr>
          <w:instrText xml:space="preserve"> PAGEREF _Toc309826891 \h </w:instrText>
        </w:r>
        <w:r w:rsidR="007F3D68">
          <w:rPr>
            <w:noProof/>
            <w:webHidden/>
          </w:rPr>
        </w:r>
        <w:r w:rsidR="007F3D68">
          <w:rPr>
            <w:noProof/>
            <w:webHidden/>
          </w:rPr>
          <w:fldChar w:fldCharType="separate"/>
        </w:r>
        <w:r w:rsidR="00A3751D">
          <w:rPr>
            <w:noProof/>
            <w:webHidden/>
          </w:rPr>
          <w:t>42</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2" w:history="1">
        <w:r w:rsidR="00217011" w:rsidRPr="00116B2B">
          <w:rPr>
            <w:rStyle w:val="af"/>
            <w:noProof/>
          </w:rPr>
          <w:t>ДОБЫЧА ПОЛЕЗНЫХ ИСКОПАЕМЫХ, ОБРАБАТЫВАЮЩИЕ  ПРОИЗВОДСТВА, ПРОИЗВОДСТВО ЭЛЕКТРОЭНЕРГИИ, ГАЗА И ВОДЫ</w:t>
        </w:r>
        <w:r w:rsidR="00217011">
          <w:rPr>
            <w:noProof/>
            <w:webHidden/>
          </w:rPr>
          <w:tab/>
        </w:r>
        <w:r w:rsidR="007F3D68">
          <w:rPr>
            <w:noProof/>
            <w:webHidden/>
          </w:rPr>
          <w:fldChar w:fldCharType="begin"/>
        </w:r>
        <w:r w:rsidR="00217011">
          <w:rPr>
            <w:noProof/>
            <w:webHidden/>
          </w:rPr>
          <w:instrText xml:space="preserve"> PAGEREF _Toc309826892 \h </w:instrText>
        </w:r>
        <w:r w:rsidR="007F3D68">
          <w:rPr>
            <w:noProof/>
            <w:webHidden/>
          </w:rPr>
        </w:r>
        <w:r w:rsidR="007F3D68">
          <w:rPr>
            <w:noProof/>
            <w:webHidden/>
          </w:rPr>
          <w:fldChar w:fldCharType="separate"/>
        </w:r>
        <w:r w:rsidR="00A3751D">
          <w:rPr>
            <w:noProof/>
            <w:webHidden/>
          </w:rPr>
          <w:t>43</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3" w:history="1">
        <w:r w:rsidR="00217011" w:rsidRPr="00116B2B">
          <w:rPr>
            <w:rStyle w:val="af"/>
            <w:noProof/>
          </w:rPr>
          <w:t>СЕЛЬСКОЕ ХОЗЯЙСТВО</w:t>
        </w:r>
        <w:r w:rsidR="00217011">
          <w:rPr>
            <w:noProof/>
            <w:webHidden/>
          </w:rPr>
          <w:tab/>
        </w:r>
        <w:r w:rsidR="007F3D68">
          <w:rPr>
            <w:noProof/>
            <w:webHidden/>
          </w:rPr>
          <w:fldChar w:fldCharType="begin"/>
        </w:r>
        <w:r w:rsidR="00217011">
          <w:rPr>
            <w:noProof/>
            <w:webHidden/>
          </w:rPr>
          <w:instrText xml:space="preserve"> PAGEREF _Toc309826893 \h </w:instrText>
        </w:r>
        <w:r w:rsidR="007F3D68">
          <w:rPr>
            <w:noProof/>
            <w:webHidden/>
          </w:rPr>
        </w:r>
        <w:r w:rsidR="007F3D68">
          <w:rPr>
            <w:noProof/>
            <w:webHidden/>
          </w:rPr>
          <w:fldChar w:fldCharType="separate"/>
        </w:r>
        <w:r w:rsidR="00A3751D">
          <w:rPr>
            <w:noProof/>
            <w:webHidden/>
          </w:rPr>
          <w:t>49</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4" w:history="1">
        <w:r w:rsidR="00217011" w:rsidRPr="00116B2B">
          <w:rPr>
            <w:rStyle w:val="af"/>
            <w:noProof/>
          </w:rPr>
          <w:t>СТРОИТЕЛЬСТВО</w:t>
        </w:r>
        <w:r w:rsidR="00217011">
          <w:rPr>
            <w:noProof/>
            <w:webHidden/>
          </w:rPr>
          <w:tab/>
        </w:r>
        <w:r w:rsidR="007F3D68">
          <w:rPr>
            <w:noProof/>
            <w:webHidden/>
          </w:rPr>
          <w:fldChar w:fldCharType="begin"/>
        </w:r>
        <w:r w:rsidR="00217011">
          <w:rPr>
            <w:noProof/>
            <w:webHidden/>
          </w:rPr>
          <w:instrText xml:space="preserve"> PAGEREF _Toc309826894 \h </w:instrText>
        </w:r>
        <w:r w:rsidR="007F3D68">
          <w:rPr>
            <w:noProof/>
            <w:webHidden/>
          </w:rPr>
        </w:r>
        <w:r w:rsidR="007F3D68">
          <w:rPr>
            <w:noProof/>
            <w:webHidden/>
          </w:rPr>
          <w:fldChar w:fldCharType="separate"/>
        </w:r>
        <w:r w:rsidR="00A3751D">
          <w:rPr>
            <w:noProof/>
            <w:webHidden/>
          </w:rPr>
          <w:t>56</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5" w:history="1">
        <w:r w:rsidR="00217011" w:rsidRPr="00116B2B">
          <w:rPr>
            <w:rStyle w:val="af"/>
            <w:noProof/>
          </w:rPr>
          <w:t>ТРАНСПОРТ И СВЯЗЬ</w:t>
        </w:r>
        <w:r w:rsidR="00217011">
          <w:rPr>
            <w:noProof/>
            <w:webHidden/>
          </w:rPr>
          <w:tab/>
        </w:r>
        <w:r w:rsidR="007F3D68">
          <w:rPr>
            <w:noProof/>
            <w:webHidden/>
          </w:rPr>
          <w:fldChar w:fldCharType="begin"/>
        </w:r>
        <w:r w:rsidR="00217011">
          <w:rPr>
            <w:noProof/>
            <w:webHidden/>
          </w:rPr>
          <w:instrText xml:space="preserve"> PAGEREF _Toc309826895 \h </w:instrText>
        </w:r>
        <w:r w:rsidR="007F3D68">
          <w:rPr>
            <w:noProof/>
            <w:webHidden/>
          </w:rPr>
        </w:r>
        <w:r w:rsidR="007F3D68">
          <w:rPr>
            <w:noProof/>
            <w:webHidden/>
          </w:rPr>
          <w:fldChar w:fldCharType="separate"/>
        </w:r>
        <w:r w:rsidR="00A3751D">
          <w:rPr>
            <w:noProof/>
            <w:webHidden/>
          </w:rPr>
          <w:t>61</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6" w:history="1">
        <w:r w:rsidR="00217011" w:rsidRPr="00116B2B">
          <w:rPr>
            <w:rStyle w:val="af"/>
            <w:noProof/>
          </w:rPr>
          <w:t>ТОРГОВЛЯ</w:t>
        </w:r>
        <w:r w:rsidR="00217011">
          <w:rPr>
            <w:noProof/>
            <w:webHidden/>
          </w:rPr>
          <w:tab/>
        </w:r>
        <w:r w:rsidR="007F3D68">
          <w:rPr>
            <w:noProof/>
            <w:webHidden/>
          </w:rPr>
          <w:fldChar w:fldCharType="begin"/>
        </w:r>
        <w:r w:rsidR="00217011">
          <w:rPr>
            <w:noProof/>
            <w:webHidden/>
          </w:rPr>
          <w:instrText xml:space="preserve"> PAGEREF _Toc309826896 \h </w:instrText>
        </w:r>
        <w:r w:rsidR="007F3D68">
          <w:rPr>
            <w:noProof/>
            <w:webHidden/>
          </w:rPr>
        </w:r>
        <w:r w:rsidR="007F3D68">
          <w:rPr>
            <w:noProof/>
            <w:webHidden/>
          </w:rPr>
          <w:fldChar w:fldCharType="separate"/>
        </w:r>
        <w:r w:rsidR="00A3751D">
          <w:rPr>
            <w:noProof/>
            <w:webHidden/>
          </w:rPr>
          <w:t>66</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7" w:history="1">
        <w:r w:rsidR="00217011" w:rsidRPr="00116B2B">
          <w:rPr>
            <w:rStyle w:val="af"/>
            <w:noProof/>
          </w:rPr>
          <w:t>НАУКА</w:t>
        </w:r>
        <w:r w:rsidR="00217011">
          <w:rPr>
            <w:noProof/>
            <w:webHidden/>
          </w:rPr>
          <w:tab/>
        </w:r>
        <w:r w:rsidR="007F3D68">
          <w:rPr>
            <w:noProof/>
            <w:webHidden/>
          </w:rPr>
          <w:fldChar w:fldCharType="begin"/>
        </w:r>
        <w:r w:rsidR="00217011">
          <w:rPr>
            <w:noProof/>
            <w:webHidden/>
          </w:rPr>
          <w:instrText xml:space="preserve"> PAGEREF _Toc309826897 \h </w:instrText>
        </w:r>
        <w:r w:rsidR="007F3D68">
          <w:rPr>
            <w:noProof/>
            <w:webHidden/>
          </w:rPr>
        </w:r>
        <w:r w:rsidR="007F3D68">
          <w:rPr>
            <w:noProof/>
            <w:webHidden/>
          </w:rPr>
          <w:fldChar w:fldCharType="separate"/>
        </w:r>
        <w:r w:rsidR="00A3751D">
          <w:rPr>
            <w:noProof/>
            <w:webHidden/>
          </w:rPr>
          <w:t>66</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8" w:history="1">
        <w:r w:rsidR="00217011" w:rsidRPr="00116B2B">
          <w:rPr>
            <w:rStyle w:val="af"/>
            <w:noProof/>
          </w:rPr>
          <w:t>ФИНАНСЫ</w:t>
        </w:r>
        <w:r w:rsidR="00217011">
          <w:rPr>
            <w:noProof/>
            <w:webHidden/>
          </w:rPr>
          <w:tab/>
        </w:r>
        <w:r w:rsidR="007F3D68">
          <w:rPr>
            <w:noProof/>
            <w:webHidden/>
          </w:rPr>
          <w:fldChar w:fldCharType="begin"/>
        </w:r>
        <w:r w:rsidR="00217011">
          <w:rPr>
            <w:noProof/>
            <w:webHidden/>
          </w:rPr>
          <w:instrText xml:space="preserve"> PAGEREF _Toc309826898 \h </w:instrText>
        </w:r>
        <w:r w:rsidR="007F3D68">
          <w:rPr>
            <w:noProof/>
            <w:webHidden/>
          </w:rPr>
        </w:r>
        <w:r w:rsidR="007F3D68">
          <w:rPr>
            <w:noProof/>
            <w:webHidden/>
          </w:rPr>
          <w:fldChar w:fldCharType="separate"/>
        </w:r>
        <w:r w:rsidR="00A3751D">
          <w:rPr>
            <w:noProof/>
            <w:webHidden/>
          </w:rPr>
          <w:t>75</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899" w:history="1">
        <w:r w:rsidR="00217011" w:rsidRPr="00116B2B">
          <w:rPr>
            <w:rStyle w:val="af"/>
            <w:noProof/>
          </w:rPr>
          <w:t>ЦЕНЫ И ТАРИФЫ</w:t>
        </w:r>
        <w:r w:rsidR="00217011">
          <w:rPr>
            <w:noProof/>
            <w:webHidden/>
          </w:rPr>
          <w:tab/>
        </w:r>
        <w:r w:rsidR="007F3D68">
          <w:rPr>
            <w:noProof/>
            <w:webHidden/>
          </w:rPr>
          <w:fldChar w:fldCharType="begin"/>
        </w:r>
        <w:r w:rsidR="00217011">
          <w:rPr>
            <w:noProof/>
            <w:webHidden/>
          </w:rPr>
          <w:instrText xml:space="preserve"> PAGEREF _Toc309826899 \h </w:instrText>
        </w:r>
        <w:r w:rsidR="007F3D68">
          <w:rPr>
            <w:noProof/>
            <w:webHidden/>
          </w:rPr>
        </w:r>
        <w:r w:rsidR="007F3D68">
          <w:rPr>
            <w:noProof/>
            <w:webHidden/>
          </w:rPr>
          <w:fldChar w:fldCharType="separate"/>
        </w:r>
        <w:r w:rsidR="00A3751D">
          <w:rPr>
            <w:noProof/>
            <w:webHidden/>
          </w:rPr>
          <w:t>78</w:t>
        </w:r>
        <w:r w:rsidR="007F3D68">
          <w:rPr>
            <w:noProof/>
            <w:webHidden/>
          </w:rPr>
          <w:fldChar w:fldCharType="end"/>
        </w:r>
      </w:hyperlink>
    </w:p>
    <w:p w:rsidR="00217011" w:rsidRDefault="00406629">
      <w:pPr>
        <w:pStyle w:val="11"/>
        <w:tabs>
          <w:tab w:val="right" w:leader="underscore" w:pos="14278"/>
        </w:tabs>
        <w:rPr>
          <w:rFonts w:asciiTheme="minorHAnsi" w:eastAsiaTheme="minorEastAsia" w:hAnsiTheme="minorHAnsi" w:cstheme="minorBidi"/>
          <w:b w:val="0"/>
          <w:bCs w:val="0"/>
          <w:i w:val="0"/>
          <w:iCs w:val="0"/>
          <w:noProof/>
          <w:sz w:val="22"/>
          <w:szCs w:val="22"/>
        </w:rPr>
      </w:pPr>
      <w:hyperlink w:anchor="_Toc309826900" w:history="1">
        <w:r w:rsidR="00217011" w:rsidRPr="00116B2B">
          <w:rPr>
            <w:rStyle w:val="af"/>
            <w:noProof/>
          </w:rPr>
          <w:t>ВНЕШНЕЭКОНОМИЧЕСКАЯ ДЕЯТЕЛЬНОСТЬ</w:t>
        </w:r>
        <w:r w:rsidR="00217011">
          <w:rPr>
            <w:noProof/>
            <w:webHidden/>
          </w:rPr>
          <w:tab/>
        </w:r>
        <w:r w:rsidR="007F3D68">
          <w:rPr>
            <w:noProof/>
            <w:webHidden/>
          </w:rPr>
          <w:fldChar w:fldCharType="begin"/>
        </w:r>
        <w:r w:rsidR="00217011">
          <w:rPr>
            <w:noProof/>
            <w:webHidden/>
          </w:rPr>
          <w:instrText xml:space="preserve"> PAGEREF _Toc309826900 \h </w:instrText>
        </w:r>
        <w:r w:rsidR="007F3D68">
          <w:rPr>
            <w:noProof/>
            <w:webHidden/>
          </w:rPr>
        </w:r>
        <w:r w:rsidR="007F3D68">
          <w:rPr>
            <w:noProof/>
            <w:webHidden/>
          </w:rPr>
          <w:fldChar w:fldCharType="separate"/>
        </w:r>
        <w:r w:rsidR="00A3751D">
          <w:rPr>
            <w:noProof/>
            <w:webHidden/>
          </w:rPr>
          <w:t>88</w:t>
        </w:r>
        <w:r w:rsidR="007F3D68">
          <w:rPr>
            <w:noProof/>
            <w:webHidden/>
          </w:rPr>
          <w:fldChar w:fldCharType="end"/>
        </w:r>
      </w:hyperlink>
    </w:p>
    <w:p w:rsidR="00102DFB" w:rsidRDefault="007F3D68" w:rsidP="004425DB">
      <w:pPr>
        <w:pStyle w:val="1"/>
        <w:tabs>
          <w:tab w:val="right" w:leader="underscore" w:pos="13467"/>
        </w:tabs>
        <w:rPr>
          <w:lang w:val="en-US"/>
        </w:rPr>
      </w:pPr>
      <w:r>
        <w:rPr>
          <w:lang w:val="en-US"/>
        </w:rPr>
        <w:fldChar w:fldCharType="end"/>
      </w:r>
    </w:p>
    <w:p w:rsidR="00102DFB" w:rsidRDefault="00102DFB">
      <w:pPr>
        <w:rPr>
          <w:rFonts w:ascii="Arial" w:hAnsi="Arial"/>
          <w:b/>
          <w:i/>
          <w:caps/>
          <w:kern w:val="28"/>
          <w:sz w:val="24"/>
          <w:lang w:val="en-US"/>
        </w:rPr>
      </w:pPr>
      <w:r>
        <w:rPr>
          <w:lang w:val="en-US"/>
        </w:rPr>
        <w:br w:type="page"/>
      </w:r>
    </w:p>
    <w:p w:rsidR="00102DFB" w:rsidRDefault="00102DFB">
      <w:pPr>
        <w:rPr>
          <w:rFonts w:ascii="Arial" w:hAnsi="Arial"/>
          <w:b/>
          <w:i/>
          <w:caps/>
          <w:kern w:val="28"/>
          <w:sz w:val="24"/>
          <w:lang w:val="en-US"/>
        </w:rPr>
      </w:pPr>
      <w:r>
        <w:rPr>
          <w:lang w:val="en-US"/>
        </w:rPr>
        <w:lastRenderedPageBreak/>
        <w:br w:type="page"/>
      </w:r>
    </w:p>
    <w:p w:rsidR="00A97E1C" w:rsidRDefault="00A97E1C" w:rsidP="004425DB">
      <w:pPr>
        <w:pStyle w:val="1"/>
        <w:tabs>
          <w:tab w:val="right" w:leader="underscore" w:pos="13467"/>
        </w:tabs>
        <w:rPr>
          <w:lang w:val="en-US"/>
        </w:rPr>
        <w:sectPr w:rsidR="00A97E1C" w:rsidSect="0009540C">
          <w:footerReference w:type="even" r:id="rId10"/>
          <w:footerReference w:type="default" r:id="rId11"/>
          <w:footerReference w:type="first" r:id="rId12"/>
          <w:pgSz w:w="16840" w:h="11907" w:orient="landscape" w:code="9"/>
          <w:pgMar w:top="851" w:right="851" w:bottom="851" w:left="1134" w:header="567" w:footer="567" w:gutter="567"/>
          <w:pgNumType w:start="1"/>
          <w:cols w:space="720"/>
          <w:titlePg/>
          <w:docGrid w:linePitch="272"/>
        </w:sectPr>
      </w:pPr>
    </w:p>
    <w:p w:rsidR="003C492E" w:rsidRPr="00217011" w:rsidRDefault="003C492E" w:rsidP="003C492E">
      <w:pPr>
        <w:pStyle w:val="1"/>
        <w:rPr>
          <w:rFonts w:cs="Arial"/>
          <w:color w:val="548DD4" w:themeColor="text2" w:themeTint="99"/>
          <w:sz w:val="22"/>
        </w:rPr>
      </w:pPr>
      <w:bookmarkStart w:id="7" w:name="_Toc309826881"/>
      <w:r w:rsidRPr="00217011">
        <w:rPr>
          <w:rFonts w:cs="Arial"/>
          <w:color w:val="548DD4" w:themeColor="text2" w:themeTint="99"/>
          <w:sz w:val="22"/>
        </w:rPr>
        <w:lastRenderedPageBreak/>
        <w:t xml:space="preserve">НАРОДНОЕ ХОЗЯЙСТВО ОБЛАСТИ В ГОДЫ </w:t>
      </w:r>
      <w:r w:rsidRPr="00217011">
        <w:rPr>
          <w:rFonts w:cs="Arial"/>
          <w:color w:val="548DD4" w:themeColor="text2" w:themeTint="99"/>
          <w:sz w:val="22"/>
        </w:rPr>
        <w:br/>
        <w:t>ВЕЛИКОЙ ОТЕЧЕСТВЕННОЙ ВОЙНЫ</w:t>
      </w:r>
      <w:bookmarkEnd w:id="7"/>
    </w:p>
    <w:p w:rsidR="003C492E" w:rsidRDefault="003C492E" w:rsidP="003C492E">
      <w:pPr>
        <w:rPr>
          <w:rFonts w:ascii="Arial" w:hAnsi="Arial" w:cs="Arial"/>
          <w:sz w:val="22"/>
        </w:rPr>
      </w:pPr>
    </w:p>
    <w:p w:rsidR="003C492E" w:rsidRDefault="003C492E" w:rsidP="003C492E">
      <w:pPr>
        <w:ind w:firstLine="709"/>
        <w:jc w:val="both"/>
        <w:rPr>
          <w:rFonts w:ascii="Arial" w:hAnsi="Arial" w:cs="Arial"/>
          <w:b/>
          <w:sz w:val="22"/>
        </w:rPr>
      </w:pPr>
      <w:r>
        <w:rPr>
          <w:rFonts w:ascii="Arial" w:hAnsi="Arial" w:cs="Arial"/>
          <w:b/>
          <w:sz w:val="22"/>
        </w:rPr>
        <w:t xml:space="preserve">Ульяновская область была образована 19 января 1943 года Указом Президиума Верховного Совета СССР. </w:t>
      </w:r>
    </w:p>
    <w:p w:rsidR="003C492E" w:rsidRDefault="003C492E" w:rsidP="003C492E">
      <w:pPr>
        <w:spacing w:before="120"/>
        <w:jc w:val="both"/>
        <w:rPr>
          <w:rFonts w:ascii="Arial" w:hAnsi="Arial" w:cs="Arial"/>
          <w:sz w:val="22"/>
        </w:rPr>
      </w:pPr>
      <w:r>
        <w:rPr>
          <w:rFonts w:ascii="Arial" w:hAnsi="Arial" w:cs="Arial"/>
          <w:noProof/>
          <w:sz w:val="22"/>
        </w:rPr>
        <w:drawing>
          <wp:anchor distT="0" distB="0" distL="114300" distR="114300" simplePos="0" relativeHeight="251732992" behindDoc="1" locked="0" layoutInCell="1" allowOverlap="1">
            <wp:simplePos x="0" y="0"/>
            <wp:positionH relativeFrom="column">
              <wp:posOffset>66675</wp:posOffset>
            </wp:positionH>
            <wp:positionV relativeFrom="paragraph">
              <wp:posOffset>15875</wp:posOffset>
            </wp:positionV>
            <wp:extent cx="2368550" cy="2933065"/>
            <wp:effectExtent l="19050" t="0" r="0" b="0"/>
            <wp:wrapTight wrapText="bothSides">
              <wp:wrapPolygon edited="0">
                <wp:start x="695" y="0"/>
                <wp:lineTo x="-174" y="982"/>
                <wp:lineTo x="-174" y="20202"/>
                <wp:lineTo x="347" y="21464"/>
                <wp:lineTo x="695" y="21464"/>
                <wp:lineTo x="20673" y="21464"/>
                <wp:lineTo x="21021" y="21464"/>
                <wp:lineTo x="21542" y="20623"/>
                <wp:lineTo x="21542" y="982"/>
                <wp:lineTo x="21195" y="140"/>
                <wp:lineTo x="20673" y="0"/>
                <wp:lineTo x="695" y="0"/>
              </wp:wrapPolygon>
            </wp:wrapTight>
            <wp:docPr id="57" name="Рисунок 56" descr="st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la.jpg"/>
                    <pic:cNvPicPr/>
                  </pic:nvPicPr>
                  <pic:blipFill>
                    <a:blip r:embed="rId13" cstate="print">
                      <a:lum bright="10000" contrast="10000"/>
                    </a:blip>
                    <a:stretch>
                      <a:fillRect/>
                    </a:stretch>
                  </pic:blipFill>
                  <pic:spPr>
                    <a:xfrm>
                      <a:off x="0" y="0"/>
                      <a:ext cx="2368550" cy="2933065"/>
                    </a:xfrm>
                    <a:prstGeom prst="rect">
                      <a:avLst/>
                    </a:prstGeom>
                    <a:ln>
                      <a:noFill/>
                    </a:ln>
                    <a:effectLst>
                      <a:softEdge rad="112500"/>
                    </a:effectLst>
                  </pic:spPr>
                </pic:pic>
              </a:graphicData>
            </a:graphic>
          </wp:anchor>
        </w:drawing>
      </w:r>
      <w:r>
        <w:rPr>
          <w:rFonts w:ascii="Arial" w:hAnsi="Arial" w:cs="Arial"/>
          <w:sz w:val="22"/>
        </w:rPr>
        <w:t xml:space="preserve">В состав области вошли 26 районов, ранее находившихся в составе Куйбышевской и  Пензенской областей. </w:t>
      </w:r>
    </w:p>
    <w:p w:rsidR="003C492E" w:rsidRDefault="003C492E" w:rsidP="003C492E">
      <w:pPr>
        <w:jc w:val="both"/>
        <w:rPr>
          <w:rFonts w:ascii="Arial" w:hAnsi="Arial" w:cs="Arial"/>
          <w:sz w:val="22"/>
        </w:rPr>
      </w:pPr>
      <w:r>
        <w:rPr>
          <w:rFonts w:ascii="Arial" w:hAnsi="Arial" w:cs="Arial"/>
          <w:sz w:val="22"/>
        </w:rPr>
        <w:t>В соответствии с современным административно-территориальным делением Ульяновская о</w:t>
      </w:r>
      <w:r>
        <w:rPr>
          <w:rFonts w:ascii="Arial" w:hAnsi="Arial" w:cs="Arial"/>
          <w:sz w:val="22"/>
        </w:rPr>
        <w:t>б</w:t>
      </w:r>
      <w:r>
        <w:rPr>
          <w:rFonts w:ascii="Arial" w:hAnsi="Arial" w:cs="Arial"/>
          <w:sz w:val="22"/>
        </w:rPr>
        <w:t xml:space="preserve">ласть включает 6 городов, из них 3 областного подчинения (Ульяновск, Димитровград и </w:t>
      </w:r>
      <w:proofErr w:type="spellStart"/>
      <w:r>
        <w:rPr>
          <w:rFonts w:ascii="Arial" w:hAnsi="Arial" w:cs="Arial"/>
          <w:sz w:val="22"/>
        </w:rPr>
        <w:t>Новоуль</w:t>
      </w:r>
      <w:r>
        <w:rPr>
          <w:rFonts w:ascii="Arial" w:hAnsi="Arial" w:cs="Arial"/>
          <w:sz w:val="22"/>
        </w:rPr>
        <w:t>я</w:t>
      </w:r>
      <w:r>
        <w:rPr>
          <w:rFonts w:ascii="Arial" w:hAnsi="Arial" w:cs="Arial"/>
          <w:sz w:val="22"/>
        </w:rPr>
        <w:t>новск</w:t>
      </w:r>
      <w:proofErr w:type="spellEnd"/>
      <w:r>
        <w:rPr>
          <w:rFonts w:ascii="Arial" w:hAnsi="Arial" w:cs="Arial"/>
          <w:sz w:val="22"/>
        </w:rPr>
        <w:t>) и 21 административный район, 29 поселков городского типа, 970 сельских населенных пун</w:t>
      </w:r>
      <w:r>
        <w:rPr>
          <w:rFonts w:ascii="Arial" w:hAnsi="Arial" w:cs="Arial"/>
          <w:sz w:val="22"/>
        </w:rPr>
        <w:t>к</w:t>
      </w:r>
      <w:r>
        <w:rPr>
          <w:rFonts w:ascii="Arial" w:hAnsi="Arial" w:cs="Arial"/>
          <w:sz w:val="22"/>
        </w:rPr>
        <w:t xml:space="preserve">тов. </w:t>
      </w:r>
    </w:p>
    <w:p w:rsidR="003C492E" w:rsidRDefault="003C492E" w:rsidP="003C492E">
      <w:pPr>
        <w:jc w:val="both"/>
        <w:rPr>
          <w:rFonts w:ascii="Arial" w:hAnsi="Arial" w:cs="Arial"/>
          <w:sz w:val="22"/>
        </w:rPr>
      </w:pPr>
      <w:r>
        <w:rPr>
          <w:rFonts w:ascii="Arial" w:hAnsi="Arial" w:cs="Arial"/>
          <w:sz w:val="22"/>
        </w:rPr>
        <w:t>Образование Ульяновской области пришлось на годы Великой отечественной войны, что внесло свои коррективы в экономическое развитие области. До 1941 года в области было образовано только 15 процентов ныне действующих промышленных предприятий. В годы войны на террит</w:t>
      </w:r>
      <w:r>
        <w:rPr>
          <w:rFonts w:ascii="Arial" w:hAnsi="Arial" w:cs="Arial"/>
          <w:sz w:val="22"/>
        </w:rPr>
        <w:t>о</w:t>
      </w:r>
      <w:r>
        <w:rPr>
          <w:rFonts w:ascii="Arial" w:hAnsi="Arial" w:cs="Arial"/>
          <w:sz w:val="22"/>
        </w:rPr>
        <w:t xml:space="preserve">рию области было перебазировано 15 промышленных предприятий, эвакуированных из западных районов страны. </w:t>
      </w:r>
    </w:p>
    <w:p w:rsidR="003C492E" w:rsidRDefault="003C492E" w:rsidP="003C492E">
      <w:pPr>
        <w:pStyle w:val="22"/>
        <w:spacing w:line="240" w:lineRule="auto"/>
        <w:ind w:firstLine="0"/>
        <w:rPr>
          <w:rFonts w:cs="Arial"/>
          <w:sz w:val="22"/>
        </w:rPr>
      </w:pPr>
      <w:r>
        <w:rPr>
          <w:rFonts w:cs="Arial"/>
          <w:sz w:val="22"/>
        </w:rPr>
        <w:t>Самым крупным эвакуированным предприятием стал ЗИС (автомобильный завод им. Сталина) из Москвы. В начале войны сюда прибыла часть оборудования автомобильного завода. В тяжёлых зимних условиях срочно монтировалось и отлаживалось оборудование. Первые автомобили были выпущены в августе 1942 года, а с октября 1942 года был пущен главный конвейер  завода. В 1944 году на базе ряда цехов автозавода был создан  Ульяновский моторный завод.</w:t>
      </w:r>
    </w:p>
    <w:p w:rsidR="003C492E" w:rsidRDefault="003C492E" w:rsidP="003C492E">
      <w:pPr>
        <w:jc w:val="both"/>
        <w:rPr>
          <w:rFonts w:ascii="Arial" w:hAnsi="Arial" w:cs="Arial"/>
          <w:sz w:val="22"/>
        </w:rPr>
      </w:pPr>
      <w:r>
        <w:rPr>
          <w:rFonts w:ascii="Arial" w:hAnsi="Arial" w:cs="Arial"/>
          <w:sz w:val="22"/>
        </w:rPr>
        <w:t>В Ульяновске разместились некоторые цеха Харьковского электромеханического завода, на базе которых возник нынешний завод "Контактор".  За три первых года работы на новом месте увел</w:t>
      </w:r>
      <w:r>
        <w:rPr>
          <w:rFonts w:ascii="Arial" w:hAnsi="Arial" w:cs="Arial"/>
          <w:sz w:val="22"/>
        </w:rPr>
        <w:t>и</w:t>
      </w:r>
      <w:r>
        <w:rPr>
          <w:rFonts w:ascii="Arial" w:hAnsi="Arial" w:cs="Arial"/>
          <w:sz w:val="22"/>
        </w:rPr>
        <w:t xml:space="preserve">чился выпуск продукции в 4 раза. В августе 1941 года из Киева в Ульяновск эвакуировалась швейная фабрика им. Горького, оттуда же прибыла другая швейная фабрика  – им. </w:t>
      </w:r>
      <w:proofErr w:type="spellStart"/>
      <w:r>
        <w:rPr>
          <w:rFonts w:ascii="Arial" w:hAnsi="Arial" w:cs="Arial"/>
          <w:sz w:val="22"/>
        </w:rPr>
        <w:t>Тинякова</w:t>
      </w:r>
      <w:proofErr w:type="spellEnd"/>
      <w:r>
        <w:rPr>
          <w:rFonts w:ascii="Arial" w:hAnsi="Arial" w:cs="Arial"/>
          <w:sz w:val="22"/>
        </w:rPr>
        <w:t>, разместившаяся в рабочем посёлке Языково.</w:t>
      </w:r>
    </w:p>
    <w:p w:rsidR="003C492E" w:rsidRDefault="003C492E" w:rsidP="003C492E">
      <w:pPr>
        <w:ind w:firstLine="709"/>
        <w:jc w:val="both"/>
        <w:rPr>
          <w:rFonts w:ascii="Arial" w:hAnsi="Arial" w:cs="Arial"/>
          <w:sz w:val="22"/>
        </w:rPr>
      </w:pPr>
      <w:r>
        <w:rPr>
          <w:rFonts w:ascii="Arial" w:hAnsi="Arial" w:cs="Arial"/>
          <w:sz w:val="22"/>
        </w:rPr>
        <w:t xml:space="preserve">Из Витебска в июле 1941 года в Ульяновск поступило оборудование трикотажной фабрики им. Ким. В г. </w:t>
      </w:r>
      <w:proofErr w:type="spellStart"/>
      <w:r>
        <w:rPr>
          <w:rFonts w:ascii="Arial" w:hAnsi="Arial" w:cs="Arial"/>
          <w:sz w:val="22"/>
        </w:rPr>
        <w:t>Мелеке</w:t>
      </w:r>
      <w:proofErr w:type="spellEnd"/>
      <w:proofErr w:type="gramStart"/>
      <w:r>
        <w:rPr>
          <w:rFonts w:ascii="Arial" w:hAnsi="Arial" w:cs="Arial"/>
          <w:sz w:val="22"/>
          <w:lang w:val="en-US"/>
        </w:rPr>
        <w:t>c</w:t>
      </w:r>
      <w:proofErr w:type="gramEnd"/>
      <w:r>
        <w:rPr>
          <w:rFonts w:ascii="Arial" w:hAnsi="Arial" w:cs="Arial"/>
          <w:sz w:val="22"/>
        </w:rPr>
        <w:t>се (ныне Дими</w:t>
      </w:r>
      <w:r>
        <w:rPr>
          <w:rFonts w:ascii="Arial" w:hAnsi="Arial" w:cs="Arial"/>
          <w:sz w:val="22"/>
        </w:rPr>
        <w:t>т</w:t>
      </w:r>
      <w:r>
        <w:rPr>
          <w:rFonts w:ascii="Arial" w:hAnsi="Arial" w:cs="Arial"/>
          <w:sz w:val="22"/>
        </w:rPr>
        <w:t>ровград) разместилась эвакуированная из Минска трикотажная Фабрика им. Клары Цеткин.</w:t>
      </w:r>
    </w:p>
    <w:p w:rsidR="003C492E" w:rsidRDefault="003C492E" w:rsidP="003C492E">
      <w:pPr>
        <w:ind w:firstLine="709"/>
        <w:jc w:val="both"/>
        <w:rPr>
          <w:rFonts w:ascii="Arial" w:hAnsi="Arial" w:cs="Arial"/>
          <w:sz w:val="22"/>
        </w:rPr>
      </w:pPr>
      <w:r>
        <w:rPr>
          <w:rFonts w:ascii="Arial" w:hAnsi="Arial" w:cs="Arial"/>
          <w:sz w:val="22"/>
        </w:rPr>
        <w:t>Нынешняя ООО «</w:t>
      </w:r>
      <w:proofErr w:type="spellStart"/>
      <w:r>
        <w:rPr>
          <w:rFonts w:ascii="Arial" w:hAnsi="Arial" w:cs="Arial"/>
          <w:sz w:val="22"/>
        </w:rPr>
        <w:t>Барышская</w:t>
      </w:r>
      <w:proofErr w:type="spellEnd"/>
      <w:r>
        <w:rPr>
          <w:rFonts w:ascii="Arial" w:hAnsi="Arial" w:cs="Arial"/>
          <w:sz w:val="22"/>
        </w:rPr>
        <w:t xml:space="preserve"> швейная фабрика» создана на базе двух эвакуированных швейных фабрик – "</w:t>
      </w:r>
      <w:proofErr w:type="spellStart"/>
      <w:r>
        <w:rPr>
          <w:rFonts w:ascii="Arial" w:hAnsi="Arial" w:cs="Arial"/>
          <w:sz w:val="22"/>
        </w:rPr>
        <w:t>Профинтеры</w:t>
      </w:r>
      <w:proofErr w:type="spellEnd"/>
      <w:r>
        <w:rPr>
          <w:rFonts w:ascii="Arial" w:hAnsi="Arial" w:cs="Arial"/>
          <w:sz w:val="22"/>
        </w:rPr>
        <w:t>" из В</w:t>
      </w:r>
      <w:r>
        <w:rPr>
          <w:rFonts w:ascii="Arial" w:hAnsi="Arial" w:cs="Arial"/>
          <w:sz w:val="22"/>
        </w:rPr>
        <w:t>и</w:t>
      </w:r>
      <w:r>
        <w:rPr>
          <w:rFonts w:ascii="Arial" w:hAnsi="Arial" w:cs="Arial"/>
          <w:sz w:val="22"/>
        </w:rPr>
        <w:t>тебска и "</w:t>
      </w:r>
      <w:proofErr w:type="spellStart"/>
      <w:r>
        <w:rPr>
          <w:rFonts w:ascii="Arial" w:hAnsi="Arial" w:cs="Arial"/>
          <w:sz w:val="22"/>
        </w:rPr>
        <w:t>Коминтеры</w:t>
      </w:r>
      <w:proofErr w:type="spellEnd"/>
      <w:r>
        <w:rPr>
          <w:rFonts w:ascii="Arial" w:hAnsi="Arial" w:cs="Arial"/>
          <w:sz w:val="22"/>
        </w:rPr>
        <w:t>" из Гомеля.</w:t>
      </w:r>
    </w:p>
    <w:p w:rsidR="003C492E" w:rsidRDefault="003C492E" w:rsidP="003C492E">
      <w:pPr>
        <w:ind w:firstLine="709"/>
        <w:jc w:val="both"/>
        <w:rPr>
          <w:rFonts w:ascii="Arial" w:hAnsi="Arial" w:cs="Arial"/>
          <w:sz w:val="22"/>
        </w:rPr>
      </w:pPr>
      <w:r>
        <w:rPr>
          <w:rFonts w:ascii="Arial" w:hAnsi="Arial" w:cs="Arial"/>
          <w:sz w:val="22"/>
        </w:rPr>
        <w:t>Эвакуированные предприятия быстро размещались в отведённых для них помещениях и немедленно приступали к выпуску пр</w:t>
      </w:r>
      <w:r>
        <w:rPr>
          <w:rFonts w:ascii="Arial" w:hAnsi="Arial" w:cs="Arial"/>
          <w:sz w:val="22"/>
        </w:rPr>
        <w:t>о</w:t>
      </w:r>
      <w:r>
        <w:rPr>
          <w:rFonts w:ascii="Arial" w:hAnsi="Arial" w:cs="Arial"/>
          <w:sz w:val="22"/>
        </w:rPr>
        <w:t>дукции, давая существенную прибавку к той продукции, которую выпускали ранее имеющиеся предприятия области.</w:t>
      </w:r>
    </w:p>
    <w:p w:rsidR="003C492E" w:rsidRDefault="003C492E" w:rsidP="003C492E">
      <w:pPr>
        <w:pStyle w:val="aa"/>
        <w:spacing w:line="240" w:lineRule="auto"/>
        <w:rPr>
          <w:rFonts w:cs="Arial"/>
          <w:sz w:val="22"/>
        </w:rPr>
      </w:pPr>
      <w:r>
        <w:rPr>
          <w:rFonts w:cs="Arial"/>
          <w:sz w:val="22"/>
        </w:rPr>
        <w:t>На начало 1944 года, согласно проведенной переписи предприятий, в Ульяновской области действовали 4513 предприятий и о</w:t>
      </w:r>
      <w:r>
        <w:rPr>
          <w:rFonts w:cs="Arial"/>
          <w:sz w:val="22"/>
        </w:rPr>
        <w:t>р</w:t>
      </w:r>
      <w:r>
        <w:rPr>
          <w:rFonts w:cs="Arial"/>
          <w:sz w:val="22"/>
        </w:rPr>
        <w:t xml:space="preserve">ганизаций, из них 578 были зарегистрированы как «крупные и мелкие» промышленные предприятия. </w:t>
      </w:r>
    </w:p>
    <w:p w:rsidR="003C492E" w:rsidRDefault="003C492E" w:rsidP="003C492E">
      <w:pPr>
        <w:pStyle w:val="aa"/>
        <w:spacing w:line="240" w:lineRule="auto"/>
        <w:rPr>
          <w:rFonts w:cs="Arial"/>
          <w:sz w:val="22"/>
        </w:rPr>
      </w:pPr>
      <w:r>
        <w:rPr>
          <w:rFonts w:cs="Arial"/>
          <w:sz w:val="22"/>
        </w:rPr>
        <w:t xml:space="preserve">В Наркоматах </w:t>
      </w:r>
      <w:proofErr w:type="spellStart"/>
      <w:r>
        <w:rPr>
          <w:rFonts w:cs="Arial"/>
          <w:sz w:val="22"/>
        </w:rPr>
        <w:t>Местпрома</w:t>
      </w:r>
      <w:proofErr w:type="spellEnd"/>
      <w:r>
        <w:rPr>
          <w:rFonts w:cs="Arial"/>
          <w:sz w:val="22"/>
        </w:rPr>
        <w:t xml:space="preserve"> функционировали 213 предприятий, </w:t>
      </w:r>
      <w:proofErr w:type="spellStart"/>
      <w:r>
        <w:rPr>
          <w:rFonts w:cs="Arial"/>
          <w:sz w:val="22"/>
        </w:rPr>
        <w:t>Пищепрома</w:t>
      </w:r>
      <w:proofErr w:type="spellEnd"/>
      <w:r>
        <w:rPr>
          <w:rFonts w:cs="Arial"/>
          <w:sz w:val="22"/>
        </w:rPr>
        <w:t xml:space="preserve"> – 156, </w:t>
      </w:r>
      <w:proofErr w:type="spellStart"/>
      <w:r>
        <w:rPr>
          <w:rFonts w:cs="Arial"/>
          <w:sz w:val="22"/>
        </w:rPr>
        <w:t>Мясомолпрома</w:t>
      </w:r>
      <w:proofErr w:type="spellEnd"/>
      <w:r>
        <w:rPr>
          <w:rFonts w:cs="Arial"/>
          <w:sz w:val="22"/>
        </w:rPr>
        <w:t xml:space="preserve"> – 73, Текстиля – 29, </w:t>
      </w:r>
      <w:proofErr w:type="spellStart"/>
      <w:r>
        <w:rPr>
          <w:rFonts w:cs="Arial"/>
          <w:sz w:val="22"/>
        </w:rPr>
        <w:t>Легпрома</w:t>
      </w:r>
      <w:proofErr w:type="spellEnd"/>
      <w:r>
        <w:rPr>
          <w:rFonts w:cs="Arial"/>
          <w:sz w:val="22"/>
        </w:rPr>
        <w:t xml:space="preserve"> – 19, </w:t>
      </w:r>
      <w:proofErr w:type="spellStart"/>
      <w:r>
        <w:rPr>
          <w:rFonts w:cs="Arial"/>
          <w:sz w:val="22"/>
        </w:rPr>
        <w:t>Промстройматериалов</w:t>
      </w:r>
      <w:proofErr w:type="spellEnd"/>
      <w:r>
        <w:rPr>
          <w:rFonts w:cs="Arial"/>
          <w:sz w:val="22"/>
        </w:rPr>
        <w:t xml:space="preserve"> – 26, Заготовок – 22, Леса – 19, </w:t>
      </w:r>
      <w:proofErr w:type="spellStart"/>
      <w:r>
        <w:rPr>
          <w:rFonts w:cs="Arial"/>
          <w:sz w:val="22"/>
        </w:rPr>
        <w:t>Бумпрома</w:t>
      </w:r>
      <w:proofErr w:type="spellEnd"/>
      <w:r>
        <w:rPr>
          <w:rFonts w:cs="Arial"/>
          <w:sz w:val="22"/>
        </w:rPr>
        <w:t xml:space="preserve"> – 6 предприятий, а также НК Угля, Нефти, </w:t>
      </w:r>
      <w:proofErr w:type="spellStart"/>
      <w:r>
        <w:rPr>
          <w:rFonts w:cs="Arial"/>
          <w:sz w:val="22"/>
        </w:rPr>
        <w:t>Резинпрома</w:t>
      </w:r>
      <w:proofErr w:type="spellEnd"/>
      <w:r>
        <w:rPr>
          <w:rFonts w:cs="Arial"/>
          <w:sz w:val="22"/>
        </w:rPr>
        <w:t xml:space="preserve">, </w:t>
      </w:r>
      <w:proofErr w:type="spellStart"/>
      <w:r>
        <w:rPr>
          <w:rFonts w:cs="Arial"/>
          <w:sz w:val="22"/>
        </w:rPr>
        <w:t>Рыбпрома</w:t>
      </w:r>
      <w:proofErr w:type="spellEnd"/>
      <w:r>
        <w:rPr>
          <w:rFonts w:cs="Arial"/>
          <w:sz w:val="22"/>
        </w:rPr>
        <w:t xml:space="preserve"> и </w:t>
      </w:r>
      <w:proofErr w:type="spellStart"/>
      <w:r>
        <w:rPr>
          <w:rFonts w:cs="Arial"/>
          <w:sz w:val="22"/>
        </w:rPr>
        <w:t>Месттоппрома</w:t>
      </w:r>
      <w:proofErr w:type="spellEnd"/>
      <w:r>
        <w:rPr>
          <w:rFonts w:cs="Arial"/>
          <w:sz w:val="22"/>
        </w:rPr>
        <w:t xml:space="preserve">. </w:t>
      </w:r>
    </w:p>
    <w:p w:rsidR="003C492E" w:rsidRDefault="003C492E" w:rsidP="003C492E">
      <w:pPr>
        <w:ind w:firstLine="709"/>
        <w:jc w:val="both"/>
        <w:rPr>
          <w:rFonts w:ascii="Arial" w:hAnsi="Arial" w:cs="Arial"/>
          <w:sz w:val="22"/>
        </w:rPr>
      </w:pPr>
      <w:proofErr w:type="gramStart"/>
      <w:r>
        <w:rPr>
          <w:rFonts w:ascii="Arial" w:hAnsi="Arial" w:cs="Arial"/>
          <w:sz w:val="22"/>
          <w:szCs w:val="22"/>
        </w:rPr>
        <w:t>В военные годы (с 1941 по 1945 г.г.), работая в труднейших условиях, предприятиям промышленности удалось значительно ув</w:t>
      </w:r>
      <w:r>
        <w:rPr>
          <w:rFonts w:ascii="Arial" w:hAnsi="Arial" w:cs="Arial"/>
          <w:sz w:val="22"/>
          <w:szCs w:val="22"/>
        </w:rPr>
        <w:t>е</w:t>
      </w:r>
      <w:r>
        <w:rPr>
          <w:rFonts w:ascii="Arial" w:hAnsi="Arial" w:cs="Arial"/>
          <w:sz w:val="22"/>
          <w:szCs w:val="22"/>
        </w:rPr>
        <w:t xml:space="preserve">личить производство продукции к 1940 году – на 17,9%. </w:t>
      </w:r>
      <w:r>
        <w:rPr>
          <w:rFonts w:ascii="Arial" w:hAnsi="Arial" w:cs="Arial"/>
          <w:sz w:val="22"/>
        </w:rPr>
        <w:t xml:space="preserve">В первый же год промышленные предприятия области дали народному хозяйству 4189 автомобилей, 439 металлорежущих станков, 6,4 млн. </w:t>
      </w:r>
      <w:proofErr w:type="spellStart"/>
      <w:r>
        <w:rPr>
          <w:rFonts w:ascii="Arial" w:hAnsi="Arial" w:cs="Arial"/>
          <w:sz w:val="22"/>
        </w:rPr>
        <w:t>пог</w:t>
      </w:r>
      <w:proofErr w:type="spellEnd"/>
      <w:r>
        <w:rPr>
          <w:rFonts w:ascii="Arial" w:hAnsi="Arial" w:cs="Arial"/>
          <w:sz w:val="22"/>
        </w:rPr>
        <w:t xml:space="preserve">. м сукна, 750 тыс. трикотажных изделий, 5300 тонн мяса и много другой </w:t>
      </w:r>
      <w:r>
        <w:rPr>
          <w:rFonts w:ascii="Arial" w:hAnsi="Arial" w:cs="Arial"/>
          <w:sz w:val="22"/>
        </w:rPr>
        <w:lastRenderedPageBreak/>
        <w:t>продукции.</w:t>
      </w:r>
      <w:proofErr w:type="gramEnd"/>
      <w:r>
        <w:rPr>
          <w:rFonts w:ascii="Arial" w:hAnsi="Arial" w:cs="Arial"/>
          <w:sz w:val="22"/>
        </w:rPr>
        <w:t xml:space="preserve"> В 1942 году выпуск продукции машиностроения и металлообработки по сравнению с довоенным 1940 годом увеличился в 3,5 раза. </w:t>
      </w:r>
    </w:p>
    <w:p w:rsidR="003C492E" w:rsidRDefault="003C492E" w:rsidP="003C492E">
      <w:pPr>
        <w:ind w:firstLine="709"/>
        <w:jc w:val="both"/>
        <w:rPr>
          <w:rFonts w:ascii="Arial" w:hAnsi="Arial" w:cs="Arial"/>
          <w:sz w:val="22"/>
        </w:rPr>
      </w:pPr>
      <w:r>
        <w:rPr>
          <w:rFonts w:ascii="Arial" w:hAnsi="Arial" w:cs="Arial"/>
          <w:sz w:val="22"/>
        </w:rPr>
        <w:t>Напряжённо трудился коллектив Ульяновского машиностроительного завода им. Володарского – крупнейшего производителя п</w:t>
      </w:r>
      <w:r>
        <w:rPr>
          <w:rFonts w:ascii="Arial" w:hAnsi="Arial" w:cs="Arial"/>
          <w:sz w:val="22"/>
        </w:rPr>
        <w:t>а</w:t>
      </w:r>
      <w:r>
        <w:rPr>
          <w:rFonts w:ascii="Arial" w:hAnsi="Arial" w:cs="Arial"/>
          <w:sz w:val="22"/>
        </w:rPr>
        <w:t>троно</w:t>
      </w:r>
      <w:proofErr w:type="gramStart"/>
      <w:r>
        <w:rPr>
          <w:rFonts w:ascii="Arial" w:hAnsi="Arial" w:cs="Arial"/>
          <w:sz w:val="22"/>
        </w:rPr>
        <w:t>в в СССР</w:t>
      </w:r>
      <w:proofErr w:type="gramEnd"/>
      <w:r>
        <w:rPr>
          <w:rFonts w:ascii="Arial" w:hAnsi="Arial" w:cs="Arial"/>
          <w:sz w:val="22"/>
        </w:rPr>
        <w:t>. Ульяновские машиностроители успешно трудились над освоением новых изделий, объявили поход за экономию цветных металлов, настойчиво искали пути замены их более дешёвыми материалами. Уже в 1943 году по сравнению с довоенным годом объём производства на этом заводе возрос более чем в 5 раз. За успешное выполнение производственной программы и освоение новой пр</w:t>
      </w:r>
      <w:r>
        <w:rPr>
          <w:rFonts w:ascii="Arial" w:hAnsi="Arial" w:cs="Arial"/>
          <w:sz w:val="22"/>
        </w:rPr>
        <w:t>о</w:t>
      </w:r>
      <w:r>
        <w:rPr>
          <w:rFonts w:ascii="Arial" w:hAnsi="Arial" w:cs="Arial"/>
          <w:sz w:val="22"/>
        </w:rPr>
        <w:t>дукции 3 июля 1942 года завод им. Володарского был награждён орденом Трудового Красного знамени, большая группа работников предприятия – орденами и медалями, двум присуждена Сталинская премия. На фронт ушли более 1300  рабочих и служащих завода, четверым заводчанам присвоено звание Героя Советского Союза.</w:t>
      </w:r>
    </w:p>
    <w:p w:rsidR="003C492E" w:rsidRDefault="003C492E" w:rsidP="003C492E">
      <w:pPr>
        <w:ind w:firstLine="709"/>
        <w:jc w:val="both"/>
        <w:rPr>
          <w:rFonts w:ascii="Arial" w:hAnsi="Arial" w:cs="Arial"/>
          <w:sz w:val="22"/>
        </w:rPr>
      </w:pPr>
      <w:r>
        <w:rPr>
          <w:rFonts w:ascii="Arial" w:hAnsi="Arial" w:cs="Arial"/>
          <w:sz w:val="22"/>
        </w:rPr>
        <w:t>В 1941 – 45 годах в области работало 8 суконных фабрик, на швейных фабриках города за годы войны было сшито 4 млн. штук шинелей. Промкомбинат и артели города освоили выпуск вещевых мешков, носилок, маскировочных халатов и т.д.</w:t>
      </w:r>
    </w:p>
    <w:p w:rsidR="003C492E" w:rsidRDefault="003C492E" w:rsidP="003C492E">
      <w:pPr>
        <w:ind w:firstLine="709"/>
        <w:jc w:val="both"/>
        <w:rPr>
          <w:rFonts w:ascii="Arial" w:hAnsi="Arial" w:cs="Arial"/>
          <w:sz w:val="22"/>
        </w:rPr>
      </w:pPr>
      <w:proofErr w:type="gramStart"/>
      <w:r>
        <w:rPr>
          <w:rFonts w:ascii="Arial" w:hAnsi="Arial" w:cs="Arial"/>
          <w:sz w:val="22"/>
        </w:rPr>
        <w:t>Ульяновск стал местом эвакуации 25 правительственных учреждений, крупных организаций союзного значения, научных и уче</w:t>
      </w:r>
      <w:r>
        <w:rPr>
          <w:rFonts w:ascii="Arial" w:hAnsi="Arial" w:cs="Arial"/>
          <w:sz w:val="22"/>
        </w:rPr>
        <w:t>б</w:t>
      </w:r>
      <w:r>
        <w:rPr>
          <w:rFonts w:ascii="Arial" w:hAnsi="Arial" w:cs="Arial"/>
          <w:sz w:val="22"/>
        </w:rPr>
        <w:t>ных учреждений: института автоматики и телемеханики АН СССР, Проектно – конструкторского бюро Наркомата путей сообщения, пр</w:t>
      </w:r>
      <w:r>
        <w:rPr>
          <w:rFonts w:ascii="Arial" w:hAnsi="Arial" w:cs="Arial"/>
          <w:sz w:val="22"/>
        </w:rPr>
        <w:t>о</w:t>
      </w:r>
      <w:r>
        <w:rPr>
          <w:rFonts w:ascii="Arial" w:hAnsi="Arial" w:cs="Arial"/>
          <w:sz w:val="22"/>
        </w:rPr>
        <w:t>ектных институтов авиационной промышленности, воронежских  медицинского и ветеринарного институтов и др. На базе двух последних в 1943 году был создан Ульяновский сельскохозяйственный институт.</w:t>
      </w:r>
      <w:proofErr w:type="gramEnd"/>
    </w:p>
    <w:p w:rsidR="003C492E" w:rsidRDefault="003C492E" w:rsidP="003C492E">
      <w:pPr>
        <w:ind w:firstLine="709"/>
        <w:jc w:val="both"/>
        <w:rPr>
          <w:rFonts w:ascii="Arial" w:hAnsi="Arial" w:cs="Arial"/>
          <w:sz w:val="22"/>
        </w:rPr>
      </w:pPr>
      <w:r>
        <w:rPr>
          <w:rFonts w:ascii="Arial" w:hAnsi="Arial" w:cs="Arial"/>
          <w:sz w:val="22"/>
        </w:rPr>
        <w:t>Ульяно</w:t>
      </w:r>
      <w:proofErr w:type="gramStart"/>
      <w:r>
        <w:rPr>
          <w:rFonts w:ascii="Arial" w:hAnsi="Arial" w:cs="Arial"/>
          <w:sz w:val="22"/>
        </w:rPr>
        <w:t>вск ст</w:t>
      </w:r>
      <w:proofErr w:type="gramEnd"/>
      <w:r>
        <w:rPr>
          <w:rFonts w:ascii="Arial" w:hAnsi="Arial" w:cs="Arial"/>
          <w:sz w:val="22"/>
        </w:rPr>
        <w:t xml:space="preserve">ал местом пребывания руководства Русской православной церкви во главе с </w:t>
      </w:r>
      <w:proofErr w:type="spellStart"/>
      <w:r>
        <w:rPr>
          <w:rFonts w:ascii="Arial" w:hAnsi="Arial" w:cs="Arial"/>
          <w:sz w:val="22"/>
        </w:rPr>
        <w:t>метрополитом</w:t>
      </w:r>
      <w:proofErr w:type="spellEnd"/>
      <w:r>
        <w:rPr>
          <w:rFonts w:ascii="Arial" w:hAnsi="Arial" w:cs="Arial"/>
          <w:sz w:val="22"/>
        </w:rPr>
        <w:t xml:space="preserve"> Сергием, который в 1943 году был избран на пост патриарха.</w:t>
      </w:r>
    </w:p>
    <w:p w:rsidR="003C492E" w:rsidRDefault="003C492E" w:rsidP="003C492E">
      <w:pPr>
        <w:ind w:firstLine="709"/>
        <w:jc w:val="both"/>
        <w:rPr>
          <w:rFonts w:ascii="Arial" w:hAnsi="Arial" w:cs="Arial"/>
          <w:sz w:val="22"/>
        </w:rPr>
      </w:pPr>
      <w:r>
        <w:rPr>
          <w:rFonts w:ascii="Arial" w:hAnsi="Arial" w:cs="Arial"/>
          <w:sz w:val="22"/>
        </w:rPr>
        <w:t xml:space="preserve">За военные годы объём капитальных вложений в народное хозяйство области составил 45,4 млн. рублей. </w:t>
      </w:r>
      <w:proofErr w:type="gramStart"/>
      <w:r>
        <w:rPr>
          <w:rFonts w:ascii="Arial" w:hAnsi="Arial" w:cs="Arial"/>
          <w:sz w:val="22"/>
        </w:rPr>
        <w:t>В строй действующих вступили заводы: автомобильный, "Контактор", приборостроительный, малолитражных двигателей (ныне Моторный завод); фабрики: им. Горького (ныне "</w:t>
      </w:r>
      <w:proofErr w:type="spellStart"/>
      <w:r>
        <w:rPr>
          <w:rFonts w:ascii="Arial" w:hAnsi="Arial" w:cs="Arial"/>
          <w:sz w:val="22"/>
        </w:rPr>
        <w:t>Элегант</w:t>
      </w:r>
      <w:proofErr w:type="spellEnd"/>
      <w:r>
        <w:rPr>
          <w:rFonts w:ascii="Arial" w:hAnsi="Arial" w:cs="Arial"/>
          <w:sz w:val="22"/>
        </w:rPr>
        <w:t>"), им. Ким, им. Клары Цеткин; Ульяновская ТЭЦ и ряд других промышленных объектов.</w:t>
      </w:r>
      <w:proofErr w:type="gramEnd"/>
    </w:p>
    <w:p w:rsidR="003C492E" w:rsidRDefault="003C492E" w:rsidP="003C492E">
      <w:pPr>
        <w:ind w:firstLine="709"/>
        <w:jc w:val="both"/>
        <w:rPr>
          <w:rFonts w:ascii="Arial" w:hAnsi="Arial" w:cs="Arial"/>
          <w:sz w:val="22"/>
        </w:rPr>
      </w:pPr>
      <w:r>
        <w:rPr>
          <w:rFonts w:ascii="Arial" w:hAnsi="Arial" w:cs="Arial"/>
          <w:sz w:val="22"/>
        </w:rPr>
        <w:t>На территории области в первые военные годы построена железнодорожная магистраль Казань – Сталинград, имевшая важное военно-стратегическое значение. Она имела протяжённость 137 км и связала Ульяновск с южными районами области и с крупными гор</w:t>
      </w:r>
      <w:r>
        <w:rPr>
          <w:rFonts w:ascii="Arial" w:hAnsi="Arial" w:cs="Arial"/>
          <w:sz w:val="22"/>
        </w:rPr>
        <w:t>о</w:t>
      </w:r>
      <w:r>
        <w:rPr>
          <w:rFonts w:ascii="Arial" w:hAnsi="Arial" w:cs="Arial"/>
          <w:sz w:val="22"/>
        </w:rPr>
        <w:t>дами Поволжья.</w:t>
      </w:r>
    </w:p>
    <w:p w:rsidR="003C492E" w:rsidRDefault="003C492E" w:rsidP="003C492E">
      <w:pPr>
        <w:ind w:firstLine="709"/>
        <w:jc w:val="both"/>
        <w:rPr>
          <w:rFonts w:ascii="Arial" w:hAnsi="Arial" w:cs="Arial"/>
          <w:sz w:val="22"/>
        </w:rPr>
      </w:pPr>
      <w:r>
        <w:rPr>
          <w:rFonts w:ascii="Arial" w:hAnsi="Arial" w:cs="Arial"/>
          <w:sz w:val="22"/>
        </w:rPr>
        <w:t>Было построено 15 общеобразовательных школ на 1800 ученических мест, дошкольных учреждений на 210 мест, учреждений культуры на 2375 мест.</w:t>
      </w:r>
    </w:p>
    <w:p w:rsidR="003C492E" w:rsidRPr="00C61B4D" w:rsidRDefault="003C492E" w:rsidP="003C492E">
      <w:pPr>
        <w:ind w:firstLine="709"/>
        <w:jc w:val="both"/>
        <w:rPr>
          <w:rFonts w:ascii="Arial" w:hAnsi="Arial" w:cs="Arial"/>
          <w:sz w:val="22"/>
        </w:rPr>
      </w:pPr>
      <w:r>
        <w:rPr>
          <w:rFonts w:ascii="Arial" w:hAnsi="Arial" w:cs="Arial"/>
          <w:sz w:val="22"/>
        </w:rPr>
        <w:t xml:space="preserve">Большой вклад в дело Победы внесли медработники. В годы войны в области работало 26 госпиталей, в том числе 14 – в городе Ульяновске. За годы войны через них прошло около 134 тысяч человек. </w:t>
      </w:r>
      <w:r w:rsidRPr="00C61B4D">
        <w:rPr>
          <w:rFonts w:ascii="Arial" w:hAnsi="Arial" w:cs="Arial"/>
          <w:sz w:val="22"/>
        </w:rPr>
        <w:t xml:space="preserve">Уже в военное время началась реконструкция старых больниц в районах, к ним пристраивались родильные и другие отделения.  </w:t>
      </w:r>
    </w:p>
    <w:p w:rsidR="003C492E" w:rsidRDefault="003C492E" w:rsidP="003C492E">
      <w:pPr>
        <w:ind w:firstLine="709"/>
        <w:jc w:val="both"/>
        <w:rPr>
          <w:rFonts w:ascii="Arial" w:hAnsi="Arial" w:cs="Arial"/>
          <w:sz w:val="22"/>
        </w:rPr>
      </w:pPr>
      <w:r>
        <w:rPr>
          <w:rFonts w:ascii="Arial" w:hAnsi="Arial" w:cs="Arial"/>
          <w:sz w:val="22"/>
        </w:rPr>
        <w:t>Главнейшей задачей области было производство сельскохозяйственной продукции. За годы войны положение сельского хозя</w:t>
      </w:r>
      <w:r>
        <w:rPr>
          <w:rFonts w:ascii="Arial" w:hAnsi="Arial" w:cs="Arial"/>
          <w:sz w:val="22"/>
        </w:rPr>
        <w:t>й</w:t>
      </w:r>
      <w:r>
        <w:rPr>
          <w:rFonts w:ascii="Arial" w:hAnsi="Arial" w:cs="Arial"/>
          <w:sz w:val="22"/>
        </w:rPr>
        <w:t>ства существенно изменилось: на фронт из сельской местности ушло 190 тысяч мужчин, автомобильный и тракторный парки  сократ</w:t>
      </w:r>
      <w:r>
        <w:rPr>
          <w:rFonts w:ascii="Arial" w:hAnsi="Arial" w:cs="Arial"/>
          <w:sz w:val="22"/>
        </w:rPr>
        <w:t>и</w:t>
      </w:r>
      <w:r>
        <w:rPr>
          <w:rFonts w:ascii="Arial" w:hAnsi="Arial" w:cs="Arial"/>
          <w:sz w:val="22"/>
        </w:rPr>
        <w:t>лись соответственно в 10 и 3 раза, в 3 раза сократилось  поголовье лошадей.</w:t>
      </w:r>
    </w:p>
    <w:p w:rsidR="003C492E" w:rsidRDefault="003C492E" w:rsidP="003C492E">
      <w:pPr>
        <w:ind w:firstLine="709"/>
        <w:jc w:val="both"/>
        <w:rPr>
          <w:rFonts w:ascii="Arial" w:hAnsi="Arial" w:cs="Arial"/>
          <w:sz w:val="22"/>
        </w:rPr>
      </w:pPr>
      <w:r>
        <w:rPr>
          <w:rFonts w:ascii="Arial" w:hAnsi="Arial" w:cs="Arial"/>
          <w:sz w:val="22"/>
        </w:rPr>
        <w:t xml:space="preserve">Самоотверженным трудом на полях труженики сельского хозяйства способствовали победам на фронтах. </w:t>
      </w:r>
    </w:p>
    <w:p w:rsidR="003C492E" w:rsidRDefault="003C492E" w:rsidP="003C492E">
      <w:pPr>
        <w:ind w:firstLine="709"/>
        <w:jc w:val="both"/>
        <w:rPr>
          <w:rFonts w:ascii="Arial" w:hAnsi="Arial" w:cs="Arial"/>
          <w:sz w:val="22"/>
        </w:rPr>
      </w:pPr>
      <w:r>
        <w:rPr>
          <w:rFonts w:ascii="Arial" w:hAnsi="Arial" w:cs="Arial"/>
          <w:sz w:val="22"/>
        </w:rPr>
        <w:t>В сентябре 1941 года в область начал прибывать скот с временно оккупированных врагом советских территорий. Поступило 19,3 тыс. голов лошадей, 30,9 тыс. голов крупного рогатого скота, 66 тыс. голов овец. Этот скот необходимо было в кратчайшие сроки разм</w:t>
      </w:r>
      <w:r>
        <w:rPr>
          <w:rFonts w:ascii="Arial" w:hAnsi="Arial" w:cs="Arial"/>
          <w:sz w:val="22"/>
        </w:rPr>
        <w:t>е</w:t>
      </w:r>
      <w:r>
        <w:rPr>
          <w:rFonts w:ascii="Arial" w:hAnsi="Arial" w:cs="Arial"/>
          <w:sz w:val="22"/>
        </w:rPr>
        <w:t xml:space="preserve">стить, организовать за ним уход и обеспечить кормами. </w:t>
      </w:r>
    </w:p>
    <w:p w:rsidR="003C492E" w:rsidRDefault="003C492E" w:rsidP="003C492E">
      <w:pPr>
        <w:ind w:firstLine="709"/>
        <w:jc w:val="both"/>
        <w:rPr>
          <w:rFonts w:ascii="Arial" w:hAnsi="Arial" w:cs="Arial"/>
          <w:sz w:val="22"/>
        </w:rPr>
      </w:pPr>
      <w:r>
        <w:rPr>
          <w:rFonts w:ascii="Arial" w:hAnsi="Arial" w:cs="Arial"/>
          <w:sz w:val="22"/>
        </w:rPr>
        <w:t>Посевные площади сельскохозяйственных культур за годы войны сократились на 32 процента, поголовье свиней – в 3 раза, пог</w:t>
      </w:r>
      <w:r>
        <w:rPr>
          <w:rFonts w:ascii="Arial" w:hAnsi="Arial" w:cs="Arial"/>
          <w:sz w:val="22"/>
        </w:rPr>
        <w:t>о</w:t>
      </w:r>
      <w:r>
        <w:rPr>
          <w:rFonts w:ascii="Arial" w:hAnsi="Arial" w:cs="Arial"/>
          <w:sz w:val="22"/>
        </w:rPr>
        <w:t>ловье овец и коз – на 39 процентов. Количество тракторов сократилось на 16 процентов, комбайнов – на 2 процента, а грузовых автом</w:t>
      </w:r>
      <w:r>
        <w:rPr>
          <w:rFonts w:ascii="Arial" w:hAnsi="Arial" w:cs="Arial"/>
          <w:sz w:val="22"/>
        </w:rPr>
        <w:t>о</w:t>
      </w:r>
      <w:r>
        <w:rPr>
          <w:rFonts w:ascii="Arial" w:hAnsi="Arial" w:cs="Arial"/>
          <w:sz w:val="22"/>
        </w:rPr>
        <w:t>билей – в 10 раз.</w:t>
      </w:r>
    </w:p>
    <w:p w:rsidR="003C492E" w:rsidRDefault="003C492E" w:rsidP="003C492E">
      <w:pPr>
        <w:pStyle w:val="22"/>
        <w:spacing w:line="240" w:lineRule="auto"/>
        <w:rPr>
          <w:rFonts w:cs="Arial"/>
          <w:sz w:val="22"/>
        </w:rPr>
      </w:pPr>
      <w:r>
        <w:rPr>
          <w:rFonts w:cs="Arial"/>
          <w:sz w:val="22"/>
        </w:rPr>
        <w:t>В области насчитывалось 1227 колхозов и 33 совхоза, в которых трудилось 675 тысяч человек.</w:t>
      </w:r>
    </w:p>
    <w:p w:rsidR="003C492E" w:rsidRDefault="003C492E" w:rsidP="003C492E">
      <w:pPr>
        <w:pStyle w:val="22"/>
        <w:spacing w:line="240" w:lineRule="auto"/>
        <w:rPr>
          <w:rFonts w:cs="Arial"/>
          <w:sz w:val="22"/>
        </w:rPr>
      </w:pPr>
      <w:r>
        <w:rPr>
          <w:rFonts w:cs="Arial"/>
          <w:sz w:val="22"/>
        </w:rPr>
        <w:lastRenderedPageBreak/>
        <w:t>Сокращение посевной площади зерновых культур резко снизило фуражный фонд. Однако благодаря самоотверженному труду работников животноводства в 1944 году по сравнению с 1942 годом надой молока в среднем на корову увеличился на 100 кг, сократился падёж скота. Колхозы и совхозы расширили производство кормов. В 1945 году удельный вес посевов кормовых культур увеличился по сравнению с довоенным 1940 годом с 6,9 до 8 процентов.</w:t>
      </w:r>
    </w:p>
    <w:p w:rsidR="003C492E" w:rsidRDefault="003C492E" w:rsidP="003C492E">
      <w:pPr>
        <w:ind w:firstLine="709"/>
        <w:jc w:val="both"/>
        <w:rPr>
          <w:rFonts w:ascii="Arial" w:hAnsi="Arial" w:cs="Arial"/>
          <w:sz w:val="22"/>
        </w:rPr>
      </w:pPr>
      <w:r>
        <w:rPr>
          <w:rFonts w:ascii="Arial" w:hAnsi="Arial" w:cs="Arial"/>
          <w:sz w:val="22"/>
        </w:rPr>
        <w:t>В те годы резко выросло значение картофеля как второго хлеба. К 1945 году посевы этой культуры расширились по сравнению с довоенным уровнем с 45,1 до 63,1 тыс. га, а их уд</w:t>
      </w:r>
      <w:proofErr w:type="gramStart"/>
      <w:r>
        <w:rPr>
          <w:rFonts w:ascii="Arial" w:hAnsi="Arial" w:cs="Arial"/>
          <w:sz w:val="22"/>
        </w:rPr>
        <w:t>.</w:t>
      </w:r>
      <w:proofErr w:type="gramEnd"/>
      <w:r w:rsidR="00406629">
        <w:rPr>
          <w:rFonts w:ascii="Arial" w:hAnsi="Arial" w:cs="Arial"/>
          <w:sz w:val="22"/>
        </w:rPr>
        <w:t xml:space="preserve"> </w:t>
      </w:r>
      <w:proofErr w:type="gramStart"/>
      <w:r>
        <w:rPr>
          <w:rFonts w:ascii="Arial" w:hAnsi="Arial" w:cs="Arial"/>
          <w:sz w:val="22"/>
        </w:rPr>
        <w:t>в</w:t>
      </w:r>
      <w:proofErr w:type="gramEnd"/>
      <w:r>
        <w:rPr>
          <w:rFonts w:ascii="Arial" w:hAnsi="Arial" w:cs="Arial"/>
          <w:sz w:val="22"/>
        </w:rPr>
        <w:t xml:space="preserve">ес во всей посевной площади вырос с 3,2 до 6,5 процента. Доля овощных культур в общих посевных также поднялась с 0,7 до 1,1 процента. За годы войны не было допущено резкого снижения урожайности. Средний сбор зерновых в колхозах  и совхозах области составлял 7,3 ц с </w:t>
      </w:r>
      <w:proofErr w:type="gramStart"/>
      <w:r>
        <w:rPr>
          <w:rFonts w:ascii="Arial" w:hAnsi="Arial" w:cs="Arial"/>
          <w:sz w:val="22"/>
        </w:rPr>
        <w:t>га</w:t>
      </w:r>
      <w:proofErr w:type="gramEnd"/>
      <w:r>
        <w:rPr>
          <w:rFonts w:ascii="Arial" w:hAnsi="Arial" w:cs="Arial"/>
          <w:sz w:val="22"/>
        </w:rPr>
        <w:t xml:space="preserve"> вместо 7,6 ц с га в предвоенные годы, а подсолнечника – 4,1 ц с га против 4,5 ц с га.</w:t>
      </w:r>
    </w:p>
    <w:p w:rsidR="003C492E" w:rsidRDefault="003C492E" w:rsidP="003C492E">
      <w:pPr>
        <w:ind w:firstLine="709"/>
        <w:jc w:val="both"/>
        <w:rPr>
          <w:rFonts w:ascii="Arial" w:hAnsi="Arial" w:cs="Arial"/>
          <w:sz w:val="22"/>
        </w:rPr>
      </w:pPr>
      <w:r>
        <w:rPr>
          <w:rFonts w:ascii="Arial" w:hAnsi="Arial" w:cs="Arial"/>
          <w:sz w:val="22"/>
        </w:rPr>
        <w:t>Однако, несмотря на все трудности, за четыре года войны государству было продано сельскохозяйственной продукции не мен</w:t>
      </w:r>
      <w:r>
        <w:rPr>
          <w:rFonts w:ascii="Arial" w:hAnsi="Arial" w:cs="Arial"/>
          <w:sz w:val="22"/>
        </w:rPr>
        <w:t>ь</w:t>
      </w:r>
      <w:r>
        <w:rPr>
          <w:rFonts w:ascii="Arial" w:hAnsi="Arial" w:cs="Arial"/>
          <w:sz w:val="22"/>
        </w:rPr>
        <w:t>ше, чем за такой же предвоенный период.</w:t>
      </w:r>
    </w:p>
    <w:p w:rsidR="003C492E" w:rsidRDefault="003C492E" w:rsidP="003C492E">
      <w:pPr>
        <w:ind w:firstLine="709"/>
        <w:jc w:val="both"/>
        <w:rPr>
          <w:rFonts w:ascii="Arial" w:hAnsi="Arial" w:cs="Arial"/>
          <w:sz w:val="22"/>
        </w:rPr>
      </w:pPr>
      <w:r>
        <w:rPr>
          <w:rFonts w:ascii="Arial" w:hAnsi="Arial" w:cs="Arial"/>
          <w:sz w:val="22"/>
        </w:rPr>
        <w:t>Население области активно участвовало в различных мобилизационных работах: строительстве оборонительных рубежей, заг</w:t>
      </w:r>
      <w:r>
        <w:rPr>
          <w:rFonts w:ascii="Arial" w:hAnsi="Arial" w:cs="Arial"/>
          <w:sz w:val="22"/>
        </w:rPr>
        <w:t>о</w:t>
      </w:r>
      <w:r>
        <w:rPr>
          <w:rFonts w:ascii="Arial" w:hAnsi="Arial" w:cs="Arial"/>
          <w:sz w:val="22"/>
        </w:rPr>
        <w:t>товке дров, торфа, ремонте железнодорожных путей.</w:t>
      </w:r>
    </w:p>
    <w:p w:rsidR="003C492E" w:rsidRDefault="003C492E" w:rsidP="003C492E">
      <w:pPr>
        <w:ind w:firstLine="709"/>
        <w:jc w:val="both"/>
        <w:rPr>
          <w:rFonts w:ascii="Arial" w:hAnsi="Arial" w:cs="Arial"/>
          <w:sz w:val="22"/>
        </w:rPr>
      </w:pPr>
      <w:r>
        <w:rPr>
          <w:rFonts w:ascii="Arial" w:hAnsi="Arial" w:cs="Arial"/>
          <w:sz w:val="22"/>
        </w:rPr>
        <w:t>Несмотря на огромные экономические трудности, население области участвовало  в патриотическом движении, им были внесены средства на танковые колонны "Ульяновский колхозник" и "Ульяновский пищевик", эскадрильи "Родина Ильича" и "Валериан Куйбышев". Население участвовало в подписных компаниях на облигации государственных займов, оказывало помощь освобожденным от врага районам, направляя туда эшелонами продовольствие, семена, скот, автомашины и др.</w:t>
      </w:r>
    </w:p>
    <w:p w:rsidR="003C492E" w:rsidRPr="00C61B4D" w:rsidRDefault="003C492E" w:rsidP="003C492E">
      <w:pPr>
        <w:pStyle w:val="21"/>
        <w:spacing w:line="240" w:lineRule="auto"/>
        <w:ind w:firstLine="709"/>
        <w:jc w:val="both"/>
        <w:rPr>
          <w:rFonts w:cs="Arial"/>
          <w:sz w:val="22"/>
        </w:rPr>
      </w:pPr>
      <w:r w:rsidRPr="00C61B4D">
        <w:rPr>
          <w:rFonts w:cs="Arial"/>
          <w:sz w:val="22"/>
        </w:rPr>
        <w:t>В начале сороковых годов на территории Ульяновской области насчитывалась 851 начальная школа, 227 неполных средних и  79 средних школ. В них обучалось более 220 тысяч учащихся. К концу войны в Ульяновской области было 16 средних специальных учебных заведений, в которых обучалось 5,5 тысячи студентов, 10 учебных заведений начального профессионального образования</w:t>
      </w:r>
    </w:p>
    <w:p w:rsidR="003C492E" w:rsidRPr="00C61B4D" w:rsidRDefault="003C492E" w:rsidP="003C492E">
      <w:pPr>
        <w:pStyle w:val="21"/>
        <w:spacing w:line="240" w:lineRule="auto"/>
        <w:ind w:firstLine="709"/>
        <w:jc w:val="both"/>
        <w:rPr>
          <w:rFonts w:cs="Arial"/>
          <w:sz w:val="22"/>
        </w:rPr>
      </w:pPr>
      <w:r w:rsidRPr="00C61B4D">
        <w:rPr>
          <w:rFonts w:cs="Arial"/>
          <w:sz w:val="22"/>
        </w:rPr>
        <w:t>В довоенное время на родине Ильича было единственное высшее учебное заведение – Ульяновский государственный педагог</w:t>
      </w:r>
      <w:r w:rsidRPr="00C61B4D">
        <w:rPr>
          <w:rFonts w:cs="Arial"/>
          <w:sz w:val="22"/>
        </w:rPr>
        <w:t>и</w:t>
      </w:r>
      <w:r w:rsidRPr="00C61B4D">
        <w:rPr>
          <w:rFonts w:cs="Arial"/>
          <w:sz w:val="22"/>
        </w:rPr>
        <w:t>ческий институт, открывшийся в октябре 1932 года.</w:t>
      </w:r>
    </w:p>
    <w:p w:rsidR="003C492E" w:rsidRPr="00C61B4D" w:rsidRDefault="003C492E" w:rsidP="003C492E">
      <w:pPr>
        <w:pStyle w:val="21"/>
        <w:spacing w:line="240" w:lineRule="auto"/>
        <w:ind w:firstLine="709"/>
        <w:jc w:val="both"/>
        <w:rPr>
          <w:rFonts w:cs="Arial"/>
          <w:sz w:val="22"/>
        </w:rPr>
      </w:pPr>
      <w:r w:rsidRPr="00C61B4D">
        <w:rPr>
          <w:rFonts w:cs="Arial"/>
          <w:sz w:val="22"/>
        </w:rPr>
        <w:t xml:space="preserve">В 1940 году в Мелекессе был открыт учительский институт, преобразованный в 1954 году  </w:t>
      </w:r>
      <w:proofErr w:type="gramStart"/>
      <w:r w:rsidRPr="00C61B4D">
        <w:rPr>
          <w:rFonts w:cs="Arial"/>
          <w:sz w:val="22"/>
        </w:rPr>
        <w:t>в</w:t>
      </w:r>
      <w:proofErr w:type="gramEnd"/>
      <w:r w:rsidRPr="00C61B4D">
        <w:rPr>
          <w:rFonts w:cs="Arial"/>
          <w:sz w:val="22"/>
        </w:rPr>
        <w:t xml:space="preserve"> педагогический. В 1940/41 учебном году в педагогических учебных заведениях обучалось всего 1564 студента, в том  числе 954 - на дневных отделениях и 610 человек – заочно. В годы Великой Отечественной войны в Ульяновске основан сельскохозяйственный институт.</w:t>
      </w:r>
    </w:p>
    <w:p w:rsidR="003C492E" w:rsidRPr="00C61B4D" w:rsidRDefault="003C492E" w:rsidP="003C492E">
      <w:pPr>
        <w:pStyle w:val="1"/>
        <w:jc w:val="both"/>
        <w:rPr>
          <w:rFonts w:cs="Arial"/>
          <w:b w:val="0"/>
          <w:i w:val="0"/>
          <w:sz w:val="22"/>
        </w:rPr>
      </w:pPr>
    </w:p>
    <w:p w:rsidR="003C492E" w:rsidRDefault="003C492E" w:rsidP="003C492E">
      <w:pPr>
        <w:rPr>
          <w:rFonts w:ascii="Arial" w:hAnsi="Arial" w:cs="Arial"/>
          <w:b/>
          <w:i/>
          <w:caps/>
          <w:kern w:val="28"/>
          <w:sz w:val="22"/>
        </w:rPr>
      </w:pPr>
      <w:r>
        <w:rPr>
          <w:rFonts w:cs="Arial"/>
          <w:sz w:val="22"/>
        </w:rPr>
        <w:br w:type="page"/>
      </w:r>
    </w:p>
    <w:p w:rsidR="003C492E" w:rsidRPr="00217011" w:rsidRDefault="003C492E" w:rsidP="003C492E">
      <w:pPr>
        <w:pStyle w:val="1"/>
        <w:rPr>
          <w:rFonts w:cs="Arial"/>
          <w:color w:val="548DD4" w:themeColor="text2" w:themeTint="99"/>
          <w:sz w:val="22"/>
        </w:rPr>
      </w:pPr>
      <w:bookmarkStart w:id="8" w:name="_Toc309826882"/>
      <w:r w:rsidRPr="00217011">
        <w:rPr>
          <w:rFonts w:cs="Arial"/>
          <w:color w:val="548DD4" w:themeColor="text2" w:themeTint="99"/>
          <w:sz w:val="22"/>
        </w:rPr>
        <w:lastRenderedPageBreak/>
        <w:t xml:space="preserve">РАЗВИТИЕ ЭКОНОМИКИ ОБЛАСТИ </w:t>
      </w:r>
      <w:r w:rsidRPr="00217011">
        <w:rPr>
          <w:rFonts w:cs="Arial"/>
          <w:color w:val="548DD4" w:themeColor="text2" w:themeTint="99"/>
          <w:sz w:val="22"/>
        </w:rPr>
        <w:br/>
        <w:t>в 1945 – 2010 годы</w:t>
      </w:r>
      <w:bookmarkEnd w:id="8"/>
    </w:p>
    <w:p w:rsidR="003C492E" w:rsidRDefault="003C492E" w:rsidP="003C492E">
      <w:pPr>
        <w:rPr>
          <w:rFonts w:ascii="Arial" w:hAnsi="Arial" w:cs="Arial"/>
          <w:b/>
          <w:sz w:val="22"/>
        </w:rPr>
      </w:pPr>
    </w:p>
    <w:p w:rsidR="003C492E" w:rsidRDefault="00406629" w:rsidP="003C492E">
      <w:pPr>
        <w:pStyle w:val="22"/>
        <w:spacing w:line="240" w:lineRule="auto"/>
        <w:rPr>
          <w:rFonts w:cs="Arial"/>
          <w:sz w:val="22"/>
          <w:szCs w:val="22"/>
        </w:rPr>
      </w:pPr>
      <w:r>
        <w:pict>
          <v:group id="_x0000_s1142" style="position:absolute;left:0;text-align:left;margin-left:581pt;margin-top:3.7pt;width:128.75pt;height:439.45pt;z-index:251731968" coordorigin="3681,1134" coordsize="2700,95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3" type="#_x0000_t75" style="position:absolute;left:3681;top:1134;width:2681;height:1643">
              <v:imagedata r:id="rId14" o:title="" cropbottom="1071f" cropleft="889f" cropright="1087f" gain="79922f" blacklevel="5898f"/>
            </v:shape>
            <v:shape id="_x0000_s1144" type="#_x0000_t75" style="position:absolute;left:3681;top:6802;width:2700;height:1986">
              <v:imagedata r:id="rId15" o:title="" croptop="1662f" cropbottom="2065f" cropleft="1074f" cropright="3277f" gain="79922f" blacklevel="5898f"/>
            </v:shape>
            <v:shape id="_x0000_s1145" type="#_x0000_t75" style="position:absolute;left:3681;top:8694;width:2699;height:2036">
              <v:imagedata r:id="rId16" o:title="3160_1" gain="74473f" blacklevel="3932f"/>
            </v:shape>
            <v:shape id="_x0000_s1146" type="#_x0000_t75" style="position:absolute;left:3681;top:2771;width:2699;height:4067">
              <v:imagedata r:id="rId17" o:title="5" croptop="1231f" cropbottom="5090f" cropleft="1984f" cropright="1410f" gain="93623f" blacklevel="9830f"/>
            </v:shape>
            <w10:wrap type="square"/>
          </v:group>
          <o:OLEObject Type="Embed" ProgID="PBrush" ShapeID="_x0000_s1143" DrawAspect="Content" ObjectID="_1451281192" r:id="rId18"/>
          <o:OLEObject Type="Embed" ProgID="PBrush" ShapeID="_x0000_s1144" DrawAspect="Content" ObjectID="_1451281193" r:id="rId19"/>
        </w:pict>
      </w:r>
      <w:r w:rsidR="003C492E">
        <w:rPr>
          <w:rFonts w:cs="Arial"/>
          <w:sz w:val="22"/>
          <w:szCs w:val="22"/>
        </w:rPr>
        <w:t>В первые послевоенные годы для восстановления разрушенного народного хозяйства одним из гла</w:t>
      </w:r>
      <w:r w:rsidR="003C492E">
        <w:rPr>
          <w:rFonts w:cs="Arial"/>
          <w:sz w:val="22"/>
          <w:szCs w:val="22"/>
        </w:rPr>
        <w:t>в</w:t>
      </w:r>
      <w:r w:rsidR="003C492E">
        <w:rPr>
          <w:rFonts w:cs="Arial"/>
          <w:sz w:val="22"/>
          <w:szCs w:val="22"/>
        </w:rPr>
        <w:t>ных направлений стало наращивание объемов производства промышленной продукции. В последующие д</w:t>
      </w:r>
      <w:r w:rsidR="003C492E">
        <w:rPr>
          <w:rFonts w:cs="Arial"/>
          <w:sz w:val="22"/>
          <w:szCs w:val="22"/>
        </w:rPr>
        <w:t>е</w:t>
      </w:r>
      <w:r w:rsidR="003C492E">
        <w:rPr>
          <w:rFonts w:cs="Arial"/>
          <w:sz w:val="22"/>
          <w:szCs w:val="22"/>
        </w:rPr>
        <w:t>сять лет (с 1946 по 1955 годы) рост объемов прои</w:t>
      </w:r>
      <w:r w:rsidR="003C492E">
        <w:rPr>
          <w:rFonts w:cs="Arial"/>
          <w:sz w:val="22"/>
          <w:szCs w:val="22"/>
        </w:rPr>
        <w:t>з</w:t>
      </w:r>
      <w:r w:rsidR="003C492E">
        <w:rPr>
          <w:rFonts w:cs="Arial"/>
          <w:sz w:val="22"/>
          <w:szCs w:val="22"/>
        </w:rPr>
        <w:t>водства продукции составил в среднем за год 13,8%, кроме 1946 и 1951 г., когда произошло снижение производства к уровню предыд</w:t>
      </w:r>
      <w:r w:rsidR="003C492E">
        <w:rPr>
          <w:rFonts w:cs="Arial"/>
          <w:sz w:val="22"/>
          <w:szCs w:val="22"/>
        </w:rPr>
        <w:t>у</w:t>
      </w:r>
      <w:r w:rsidR="003C492E">
        <w:rPr>
          <w:rFonts w:cs="Arial"/>
          <w:sz w:val="22"/>
          <w:szCs w:val="22"/>
        </w:rPr>
        <w:t xml:space="preserve">щих лет, соответственно, на 12,6% и 0,6%. </w:t>
      </w:r>
    </w:p>
    <w:p w:rsidR="003C492E" w:rsidRDefault="003C492E" w:rsidP="003C492E">
      <w:pPr>
        <w:ind w:firstLine="709"/>
        <w:jc w:val="both"/>
        <w:rPr>
          <w:rFonts w:ascii="Arial" w:hAnsi="Arial" w:cs="Arial"/>
          <w:sz w:val="22"/>
        </w:rPr>
      </w:pPr>
      <w:r>
        <w:rPr>
          <w:rFonts w:ascii="Arial" w:hAnsi="Arial" w:cs="Arial"/>
          <w:sz w:val="22"/>
        </w:rPr>
        <w:t xml:space="preserve">В годы первой послевоенной пятилетки продолжалось строительство Ульяновского автомобильного завода. Коллектив завода готовился к выпуску ульяновских полуторатонных грузовых машин типа ГАЗ-АА, первые пять грузовиков этого типа сошли с главного конвейера завода 26 октября 1947 года. В 1950 году с главного конвейера автозавода уже сошло машин в 2 раза больше, чем в 1949 году. Предприятия области осваивали производство важных изделий. Машиностроительный завод им. Володарского в 1947 году стал выпускать </w:t>
      </w:r>
      <w:proofErr w:type="spellStart"/>
      <w:r>
        <w:rPr>
          <w:rFonts w:ascii="Arial" w:hAnsi="Arial" w:cs="Arial"/>
          <w:sz w:val="22"/>
        </w:rPr>
        <w:t>пилоцепи</w:t>
      </w:r>
      <w:proofErr w:type="spellEnd"/>
      <w:r>
        <w:rPr>
          <w:rFonts w:ascii="Arial" w:hAnsi="Arial" w:cs="Arial"/>
          <w:sz w:val="22"/>
        </w:rPr>
        <w:t xml:space="preserve"> для лесной и цепи для нефтяной промышленности, в 2 – 3 раза увеличилось произво</w:t>
      </w:r>
      <w:r>
        <w:rPr>
          <w:rFonts w:ascii="Arial" w:hAnsi="Arial" w:cs="Arial"/>
          <w:sz w:val="22"/>
        </w:rPr>
        <w:t>д</w:t>
      </w:r>
      <w:r>
        <w:rPr>
          <w:rFonts w:ascii="Arial" w:hAnsi="Arial" w:cs="Arial"/>
          <w:sz w:val="22"/>
        </w:rPr>
        <w:t xml:space="preserve">ство токарно-винторезных станков, тельферов, электромоторов. На заводе малолитражных двигателей (ныне Моторный завод) было налажено производство новых моторов марки Л-6. В 1954 году на заводе пущены в эксплуатацию автоматические линии по производству поршней для автомашин ЗИЛ-150. </w:t>
      </w:r>
      <w:proofErr w:type="spellStart"/>
      <w:r>
        <w:rPr>
          <w:rFonts w:ascii="Arial" w:hAnsi="Arial" w:cs="Arial"/>
          <w:sz w:val="22"/>
        </w:rPr>
        <w:t>Мелекесский</w:t>
      </w:r>
      <w:proofErr w:type="spellEnd"/>
      <w:r>
        <w:rPr>
          <w:rFonts w:ascii="Arial" w:hAnsi="Arial" w:cs="Arial"/>
          <w:sz w:val="22"/>
        </w:rPr>
        <w:t xml:space="preserve"> чугу</w:t>
      </w:r>
      <w:r>
        <w:rPr>
          <w:rFonts w:ascii="Arial" w:hAnsi="Arial" w:cs="Arial"/>
          <w:sz w:val="22"/>
        </w:rPr>
        <w:t>н</w:t>
      </w:r>
      <w:r>
        <w:rPr>
          <w:rFonts w:ascii="Arial" w:hAnsi="Arial" w:cs="Arial"/>
          <w:sz w:val="22"/>
        </w:rPr>
        <w:t xml:space="preserve">но-литейный завод (ныне </w:t>
      </w:r>
      <w:proofErr w:type="spellStart"/>
      <w:r>
        <w:rPr>
          <w:rFonts w:ascii="Arial" w:hAnsi="Arial" w:cs="Arial"/>
          <w:sz w:val="22"/>
        </w:rPr>
        <w:t>Димитровградский</w:t>
      </w:r>
      <w:proofErr w:type="spellEnd"/>
      <w:r>
        <w:rPr>
          <w:rFonts w:ascii="Arial" w:hAnsi="Arial" w:cs="Arial"/>
          <w:sz w:val="22"/>
        </w:rPr>
        <w:t xml:space="preserve"> завод "</w:t>
      </w:r>
      <w:proofErr w:type="spellStart"/>
      <w:r>
        <w:rPr>
          <w:rFonts w:ascii="Arial" w:hAnsi="Arial" w:cs="Arial"/>
          <w:sz w:val="22"/>
        </w:rPr>
        <w:t>Химмаш</w:t>
      </w:r>
      <w:proofErr w:type="spellEnd"/>
      <w:r>
        <w:rPr>
          <w:rFonts w:ascii="Arial" w:hAnsi="Arial" w:cs="Arial"/>
          <w:sz w:val="22"/>
        </w:rPr>
        <w:t>") первый в стране начал выпускать вулканизац</w:t>
      </w:r>
      <w:r>
        <w:rPr>
          <w:rFonts w:ascii="Arial" w:hAnsi="Arial" w:cs="Arial"/>
          <w:sz w:val="22"/>
        </w:rPr>
        <w:t>и</w:t>
      </w:r>
      <w:r>
        <w:rPr>
          <w:rFonts w:ascii="Arial" w:hAnsi="Arial" w:cs="Arial"/>
          <w:sz w:val="22"/>
        </w:rPr>
        <w:t>онные прессы для предприятий резиновой промышленности. В 1947 году г. Ульяновск получил от ТЭЦ авт</w:t>
      </w:r>
      <w:r>
        <w:rPr>
          <w:rFonts w:ascii="Arial" w:hAnsi="Arial" w:cs="Arial"/>
          <w:sz w:val="22"/>
        </w:rPr>
        <w:t>о</w:t>
      </w:r>
      <w:r>
        <w:rPr>
          <w:rFonts w:ascii="Arial" w:hAnsi="Arial" w:cs="Arial"/>
          <w:sz w:val="22"/>
        </w:rPr>
        <w:t>мобильного завода первый электрический ток.</w:t>
      </w:r>
    </w:p>
    <w:p w:rsidR="003C492E" w:rsidRDefault="003C492E" w:rsidP="003C492E">
      <w:pPr>
        <w:ind w:firstLine="709"/>
        <w:jc w:val="both"/>
        <w:rPr>
          <w:rFonts w:ascii="Arial" w:hAnsi="Arial" w:cs="Arial"/>
          <w:sz w:val="22"/>
        </w:rPr>
      </w:pPr>
      <w:r>
        <w:rPr>
          <w:rFonts w:ascii="Arial" w:hAnsi="Arial" w:cs="Arial"/>
          <w:sz w:val="22"/>
        </w:rPr>
        <w:t xml:space="preserve">Объём промышленного производства в 1955 году по сравнению с 1950 годом возрос на 62 процента. За это время был реконструирован ряд существующих и создано несколько новых предприятий: в </w:t>
      </w:r>
      <w:proofErr w:type="spellStart"/>
      <w:r>
        <w:rPr>
          <w:rFonts w:ascii="Arial" w:hAnsi="Arial" w:cs="Arial"/>
          <w:sz w:val="22"/>
        </w:rPr>
        <w:t>Мелеке</w:t>
      </w:r>
      <w:proofErr w:type="spellEnd"/>
      <w:proofErr w:type="gramStart"/>
      <w:r>
        <w:rPr>
          <w:rFonts w:ascii="Arial" w:hAnsi="Arial" w:cs="Arial"/>
          <w:sz w:val="22"/>
          <w:lang w:val="en-US"/>
        </w:rPr>
        <w:t>c</w:t>
      </w:r>
      <w:proofErr w:type="gramEnd"/>
      <w:r>
        <w:rPr>
          <w:rFonts w:ascii="Arial" w:hAnsi="Arial" w:cs="Arial"/>
          <w:sz w:val="22"/>
        </w:rPr>
        <w:t xml:space="preserve">се начала работать макаронная фабрика. В </w:t>
      </w:r>
      <w:proofErr w:type="spellStart"/>
      <w:r>
        <w:rPr>
          <w:rFonts w:ascii="Arial" w:hAnsi="Arial" w:cs="Arial"/>
          <w:sz w:val="22"/>
        </w:rPr>
        <w:t>Барышском</w:t>
      </w:r>
      <w:proofErr w:type="spellEnd"/>
      <w:r>
        <w:rPr>
          <w:rFonts w:ascii="Arial" w:hAnsi="Arial" w:cs="Arial"/>
          <w:sz w:val="22"/>
        </w:rPr>
        <w:t xml:space="preserve">, Николаевском, Ульяновском районах в сёлах Тагай, </w:t>
      </w:r>
      <w:proofErr w:type="spellStart"/>
      <w:r>
        <w:rPr>
          <w:rFonts w:ascii="Arial" w:hAnsi="Arial" w:cs="Arial"/>
          <w:sz w:val="22"/>
        </w:rPr>
        <w:t>Тиинск</w:t>
      </w:r>
      <w:proofErr w:type="spellEnd"/>
      <w:r>
        <w:rPr>
          <w:rFonts w:ascii="Arial" w:hAnsi="Arial" w:cs="Arial"/>
          <w:sz w:val="22"/>
        </w:rPr>
        <w:t>, Старая Кулатка построены предприятия по выработке кирпича. Были пущены в эксплуатацию десятки мебельных цехов, швейных и обувных мастерских и павильонов бытового обслуживания. На автозаводе освоена конвейерная сборка машин ГАЗ-69.</w:t>
      </w:r>
    </w:p>
    <w:p w:rsidR="003C492E" w:rsidRDefault="003C492E" w:rsidP="003C492E">
      <w:pPr>
        <w:pStyle w:val="22"/>
        <w:spacing w:line="240" w:lineRule="auto"/>
        <w:rPr>
          <w:rFonts w:cs="Arial"/>
          <w:i/>
          <w:iCs/>
          <w:sz w:val="22"/>
        </w:rPr>
      </w:pPr>
      <w:r>
        <w:rPr>
          <w:rFonts w:cs="Arial"/>
          <w:sz w:val="22"/>
        </w:rPr>
        <w:t xml:space="preserve">В 1956 году вступила в строй первая очередь Ульяновского завода тяжёлых и уникальных станков. С самого начала своей трудовой биографии завод был одним из ведущих предприятий области. В 1958 году на заводе освоили выпуск вертикального </w:t>
      </w:r>
      <w:proofErr w:type="spellStart"/>
      <w:r>
        <w:rPr>
          <w:rFonts w:cs="Arial"/>
          <w:sz w:val="22"/>
        </w:rPr>
        <w:t>бесконсольно</w:t>
      </w:r>
      <w:proofErr w:type="spellEnd"/>
      <w:r>
        <w:rPr>
          <w:rFonts w:cs="Arial"/>
          <w:sz w:val="22"/>
        </w:rPr>
        <w:t>-фрезерного станка модели 656К, аналогов которому в стране в то время не было.</w:t>
      </w:r>
    </w:p>
    <w:p w:rsidR="003C492E" w:rsidRDefault="003C492E" w:rsidP="003C492E">
      <w:pPr>
        <w:ind w:firstLine="709"/>
        <w:jc w:val="both"/>
        <w:rPr>
          <w:rFonts w:ascii="Arial" w:hAnsi="Arial" w:cs="Arial"/>
          <w:sz w:val="22"/>
        </w:rPr>
      </w:pPr>
      <w:r>
        <w:rPr>
          <w:rFonts w:ascii="Arial" w:hAnsi="Arial" w:cs="Arial"/>
          <w:sz w:val="22"/>
        </w:rPr>
        <w:t>В 50</w:t>
      </w:r>
      <w:r>
        <w:rPr>
          <w:rFonts w:ascii="Arial" w:hAnsi="Arial" w:cs="Arial"/>
          <w:sz w:val="22"/>
          <w:u w:val="single"/>
          <w:vertAlign w:val="superscript"/>
        </w:rPr>
        <w:t>е</w:t>
      </w:r>
      <w:r>
        <w:rPr>
          <w:rFonts w:ascii="Arial" w:hAnsi="Arial" w:cs="Arial"/>
          <w:sz w:val="22"/>
        </w:rPr>
        <w:t xml:space="preserve"> годы капитальное строительство становится крупнейшей отраслью хозяйства области. Важными событиями тех лет явились пуск </w:t>
      </w:r>
      <w:proofErr w:type="gramStart"/>
      <w:r>
        <w:rPr>
          <w:rFonts w:ascii="Arial" w:hAnsi="Arial" w:cs="Arial"/>
          <w:sz w:val="22"/>
        </w:rPr>
        <w:t>трамвая</w:t>
      </w:r>
      <w:proofErr w:type="gramEnd"/>
      <w:r>
        <w:rPr>
          <w:rFonts w:ascii="Arial" w:hAnsi="Arial" w:cs="Arial"/>
          <w:sz w:val="22"/>
        </w:rPr>
        <w:t xml:space="preserve"> и ввод в строй в 1959 году телецентра. В связи со строительством Волжской ГЭС, в конце 1952 года начались работы по сооружению нового речного порта, завершившиеся в 1961 году.</w:t>
      </w:r>
    </w:p>
    <w:p w:rsidR="003C492E" w:rsidRDefault="003C492E" w:rsidP="003C492E">
      <w:pPr>
        <w:ind w:firstLine="709"/>
        <w:jc w:val="both"/>
        <w:rPr>
          <w:rFonts w:ascii="Arial" w:hAnsi="Arial" w:cs="Arial"/>
          <w:sz w:val="22"/>
        </w:rPr>
      </w:pPr>
      <w:r>
        <w:rPr>
          <w:rFonts w:ascii="Arial" w:hAnsi="Arial" w:cs="Arial"/>
          <w:sz w:val="22"/>
        </w:rPr>
        <w:t xml:space="preserve">В эти же годы велось сооружение дамбы вокруг Володарского района, проведены работы по подъёму уровня моста через Волгу, а в дополнении к железнодорожному был построен в 1958 году и автомобильный мост. С 1954 года </w:t>
      </w:r>
      <w:proofErr w:type="spellStart"/>
      <w:r>
        <w:rPr>
          <w:rFonts w:ascii="Arial" w:hAnsi="Arial" w:cs="Arial"/>
          <w:sz w:val="22"/>
        </w:rPr>
        <w:t>ульяновцы</w:t>
      </w:r>
      <w:proofErr w:type="spellEnd"/>
      <w:r>
        <w:rPr>
          <w:rFonts w:ascii="Arial" w:hAnsi="Arial" w:cs="Arial"/>
          <w:sz w:val="22"/>
        </w:rPr>
        <w:t xml:space="preserve"> стали пользоваться услугами аэропорта. </w:t>
      </w:r>
    </w:p>
    <w:p w:rsidR="003C492E" w:rsidRDefault="003C492E" w:rsidP="003C492E">
      <w:pPr>
        <w:ind w:firstLine="709"/>
        <w:jc w:val="both"/>
        <w:rPr>
          <w:rFonts w:ascii="Arial" w:hAnsi="Arial" w:cs="Arial"/>
          <w:sz w:val="22"/>
        </w:rPr>
      </w:pPr>
      <w:r>
        <w:rPr>
          <w:rFonts w:ascii="Arial" w:hAnsi="Arial" w:cs="Arial"/>
          <w:sz w:val="22"/>
        </w:rPr>
        <w:t xml:space="preserve">Гордостью </w:t>
      </w:r>
      <w:proofErr w:type="spellStart"/>
      <w:r>
        <w:rPr>
          <w:rFonts w:ascii="Arial" w:hAnsi="Arial" w:cs="Arial"/>
          <w:sz w:val="22"/>
        </w:rPr>
        <w:t>ульяновцев</w:t>
      </w:r>
      <w:proofErr w:type="spellEnd"/>
      <w:r>
        <w:rPr>
          <w:rFonts w:ascii="Arial" w:hAnsi="Arial" w:cs="Arial"/>
          <w:sz w:val="22"/>
        </w:rPr>
        <w:t xml:space="preserve"> явилось уникальное в то время сооружение – </w:t>
      </w:r>
      <w:proofErr w:type="spellStart"/>
      <w:r>
        <w:rPr>
          <w:rFonts w:ascii="Arial" w:hAnsi="Arial" w:cs="Arial"/>
          <w:sz w:val="22"/>
        </w:rPr>
        <w:t>Мелекесская</w:t>
      </w:r>
      <w:proofErr w:type="spellEnd"/>
      <w:r>
        <w:rPr>
          <w:rFonts w:ascii="Arial" w:hAnsi="Arial" w:cs="Arial"/>
          <w:sz w:val="22"/>
        </w:rPr>
        <w:t xml:space="preserve"> атомная электр</w:t>
      </w:r>
      <w:r>
        <w:rPr>
          <w:rFonts w:ascii="Arial" w:hAnsi="Arial" w:cs="Arial"/>
          <w:sz w:val="22"/>
        </w:rPr>
        <w:t>о</w:t>
      </w:r>
      <w:r>
        <w:rPr>
          <w:rFonts w:ascii="Arial" w:hAnsi="Arial" w:cs="Arial"/>
          <w:sz w:val="22"/>
        </w:rPr>
        <w:t>станция, которая в 1965 году дала первые тысячи киловатт-часов электроэнергии.</w:t>
      </w:r>
    </w:p>
    <w:p w:rsidR="003C492E" w:rsidRDefault="003C492E" w:rsidP="003C492E">
      <w:pPr>
        <w:ind w:firstLine="709"/>
        <w:jc w:val="both"/>
        <w:rPr>
          <w:rFonts w:ascii="Arial" w:hAnsi="Arial" w:cs="Arial"/>
          <w:sz w:val="22"/>
        </w:rPr>
      </w:pPr>
      <w:proofErr w:type="gramStart"/>
      <w:r>
        <w:rPr>
          <w:rFonts w:ascii="Arial" w:hAnsi="Arial" w:cs="Arial"/>
          <w:sz w:val="22"/>
        </w:rPr>
        <w:lastRenderedPageBreak/>
        <w:t>За периоды с 1956 по 1965 годы прирост объемов производства в среднем за год составлял 9,7%, с 1966 по 1975 годы – 10,4%, с 1976 по 1985 годы – 4,3%, а за период с 1971 по 1980  годы  – 6,2%.</w:t>
      </w:r>
      <w:r>
        <w:rPr>
          <w:rFonts w:ascii="Arial" w:hAnsi="Arial" w:cs="Arial"/>
          <w:sz w:val="22"/>
        </w:rPr>
        <w:tab/>
      </w:r>
      <w:proofErr w:type="gramEnd"/>
    </w:p>
    <w:p w:rsidR="003C492E" w:rsidRDefault="003C492E" w:rsidP="003C492E">
      <w:pPr>
        <w:ind w:firstLine="709"/>
        <w:jc w:val="both"/>
        <w:rPr>
          <w:rFonts w:ascii="Arial" w:hAnsi="Arial" w:cs="Arial"/>
          <w:sz w:val="22"/>
        </w:rPr>
      </w:pPr>
      <w:r>
        <w:rPr>
          <w:rFonts w:ascii="Arial" w:hAnsi="Arial" w:cs="Arial"/>
          <w:sz w:val="22"/>
        </w:rPr>
        <w:t>Большой размах строительства потребовал создания мощной строительной базы для увеличения выпуска стройматериалов. В 50</w:t>
      </w:r>
      <w:r>
        <w:rPr>
          <w:rFonts w:ascii="Arial" w:hAnsi="Arial" w:cs="Arial"/>
          <w:sz w:val="22"/>
          <w:u w:val="single"/>
          <w:vertAlign w:val="superscript"/>
        </w:rPr>
        <w:t>е</w:t>
      </w:r>
      <w:r>
        <w:rPr>
          <w:rFonts w:ascii="Arial" w:hAnsi="Arial" w:cs="Arial"/>
          <w:sz w:val="22"/>
        </w:rPr>
        <w:t xml:space="preserve"> годы был построен завод железобетонных изделий за </w:t>
      </w:r>
      <w:proofErr w:type="spellStart"/>
      <w:r>
        <w:rPr>
          <w:rFonts w:ascii="Arial" w:hAnsi="Arial" w:cs="Arial"/>
          <w:sz w:val="22"/>
        </w:rPr>
        <w:t>Свиягой</w:t>
      </w:r>
      <w:proofErr w:type="spellEnd"/>
      <w:r>
        <w:rPr>
          <w:rFonts w:ascii="Arial" w:hAnsi="Arial" w:cs="Arial"/>
          <w:sz w:val="22"/>
        </w:rPr>
        <w:t xml:space="preserve">, завод силикатных изделий, </w:t>
      </w:r>
      <w:proofErr w:type="spellStart"/>
      <w:r>
        <w:rPr>
          <w:rFonts w:ascii="Arial" w:hAnsi="Arial" w:cs="Arial"/>
          <w:sz w:val="22"/>
        </w:rPr>
        <w:t>Кучуровский</w:t>
      </w:r>
      <w:proofErr w:type="spellEnd"/>
      <w:r>
        <w:rPr>
          <w:rFonts w:ascii="Arial" w:hAnsi="Arial" w:cs="Arial"/>
          <w:sz w:val="22"/>
        </w:rPr>
        <w:t xml:space="preserve"> щебеночный завод, расш</w:t>
      </w:r>
      <w:r>
        <w:rPr>
          <w:rFonts w:ascii="Arial" w:hAnsi="Arial" w:cs="Arial"/>
          <w:sz w:val="22"/>
        </w:rPr>
        <w:t>и</w:t>
      </w:r>
      <w:r>
        <w:rPr>
          <w:rFonts w:ascii="Arial" w:hAnsi="Arial" w:cs="Arial"/>
          <w:sz w:val="22"/>
        </w:rPr>
        <w:t xml:space="preserve">рялся Ульяновский комбинат стройматериалов, выпускающий кирпич, гипс, керамзит и другие строительные материалы. </w:t>
      </w:r>
    </w:p>
    <w:p w:rsidR="003C492E" w:rsidRDefault="003C492E" w:rsidP="003C492E">
      <w:pPr>
        <w:ind w:firstLine="709"/>
        <w:jc w:val="both"/>
        <w:rPr>
          <w:rFonts w:ascii="Arial" w:hAnsi="Arial" w:cs="Arial"/>
          <w:sz w:val="22"/>
        </w:rPr>
      </w:pPr>
      <w:r>
        <w:rPr>
          <w:rFonts w:ascii="Arial" w:hAnsi="Arial" w:cs="Arial"/>
          <w:sz w:val="22"/>
        </w:rPr>
        <w:t xml:space="preserve">В 1958 году началось и в 1965 году полностью закончилось строительство </w:t>
      </w:r>
      <w:proofErr w:type="spellStart"/>
      <w:r>
        <w:rPr>
          <w:rFonts w:ascii="Arial" w:hAnsi="Arial" w:cs="Arial"/>
          <w:sz w:val="22"/>
        </w:rPr>
        <w:t>Новоульяновского</w:t>
      </w:r>
      <w:proofErr w:type="spellEnd"/>
      <w:r>
        <w:rPr>
          <w:rFonts w:ascii="Arial" w:hAnsi="Arial" w:cs="Arial"/>
          <w:sz w:val="22"/>
        </w:rPr>
        <w:t xml:space="preserve"> цементного завода, строительство завода было включено в число ударных комсомольских строек страны. В 1961 – 1967 гг. построены: Ульяновский домостроительный комбинат, цех железобетонных изделий  "</w:t>
      </w:r>
      <w:proofErr w:type="spellStart"/>
      <w:r>
        <w:rPr>
          <w:rFonts w:ascii="Arial" w:hAnsi="Arial" w:cs="Arial"/>
          <w:sz w:val="22"/>
        </w:rPr>
        <w:t>Главульяновскстроя</w:t>
      </w:r>
      <w:proofErr w:type="spellEnd"/>
      <w:r>
        <w:rPr>
          <w:rFonts w:ascii="Arial" w:hAnsi="Arial" w:cs="Arial"/>
          <w:sz w:val="22"/>
        </w:rPr>
        <w:t>" мощностью 70 тыс. м</w:t>
      </w:r>
      <w:r>
        <w:rPr>
          <w:rFonts w:ascii="Arial" w:hAnsi="Arial" w:cs="Arial"/>
          <w:sz w:val="22"/>
          <w:vertAlign w:val="superscript"/>
        </w:rPr>
        <w:t>3</w:t>
      </w:r>
      <w:r>
        <w:rPr>
          <w:rFonts w:ascii="Arial" w:hAnsi="Arial" w:cs="Arial"/>
          <w:sz w:val="22"/>
        </w:rPr>
        <w:t xml:space="preserve"> сборного железобетона в год, цех керамзита мо</w:t>
      </w:r>
      <w:r>
        <w:rPr>
          <w:rFonts w:ascii="Arial" w:hAnsi="Arial" w:cs="Arial"/>
          <w:sz w:val="22"/>
        </w:rPr>
        <w:t>щ</w:t>
      </w:r>
      <w:r>
        <w:rPr>
          <w:rFonts w:ascii="Arial" w:hAnsi="Arial" w:cs="Arial"/>
          <w:sz w:val="22"/>
        </w:rPr>
        <w:t xml:space="preserve">ностью 100 тыс. тонн, </w:t>
      </w:r>
      <w:proofErr w:type="spellStart"/>
      <w:r>
        <w:rPr>
          <w:rFonts w:ascii="Arial" w:hAnsi="Arial" w:cs="Arial"/>
          <w:sz w:val="22"/>
        </w:rPr>
        <w:t>Новоульяновский</w:t>
      </w:r>
      <w:proofErr w:type="spellEnd"/>
      <w:r>
        <w:rPr>
          <w:rFonts w:ascii="Arial" w:hAnsi="Arial" w:cs="Arial"/>
          <w:sz w:val="22"/>
        </w:rPr>
        <w:t xml:space="preserve"> завод мягкой кровли производственной мощностью 25 млн. м</w:t>
      </w:r>
      <w:proofErr w:type="gramStart"/>
      <w:r>
        <w:rPr>
          <w:rFonts w:ascii="Arial" w:hAnsi="Arial" w:cs="Arial"/>
          <w:sz w:val="22"/>
          <w:vertAlign w:val="superscript"/>
        </w:rPr>
        <w:t>2</w:t>
      </w:r>
      <w:proofErr w:type="gramEnd"/>
      <w:r>
        <w:rPr>
          <w:rFonts w:ascii="Arial" w:hAnsi="Arial" w:cs="Arial"/>
          <w:sz w:val="22"/>
        </w:rPr>
        <w:t xml:space="preserve"> кровельных материалов в год.</w:t>
      </w:r>
    </w:p>
    <w:p w:rsidR="003C492E" w:rsidRDefault="003C492E" w:rsidP="003C492E">
      <w:pPr>
        <w:ind w:firstLine="709"/>
        <w:jc w:val="both"/>
        <w:rPr>
          <w:rFonts w:ascii="Arial" w:hAnsi="Arial" w:cs="Arial"/>
          <w:sz w:val="22"/>
        </w:rPr>
      </w:pPr>
      <w:r>
        <w:rPr>
          <w:rFonts w:ascii="Arial" w:hAnsi="Arial" w:cs="Arial"/>
          <w:sz w:val="22"/>
        </w:rPr>
        <w:t>В 1967 г. на базе объединения "</w:t>
      </w:r>
      <w:proofErr w:type="spellStart"/>
      <w:r>
        <w:rPr>
          <w:rFonts w:ascii="Arial" w:hAnsi="Arial" w:cs="Arial"/>
          <w:sz w:val="22"/>
        </w:rPr>
        <w:t>Ульяновскстрой</w:t>
      </w:r>
      <w:proofErr w:type="spellEnd"/>
      <w:r>
        <w:rPr>
          <w:rFonts w:ascii="Arial" w:hAnsi="Arial" w:cs="Arial"/>
          <w:sz w:val="22"/>
        </w:rPr>
        <w:t xml:space="preserve">" была создана новая подрядная организация по строительству в г. Ульяновске – </w:t>
      </w:r>
      <w:proofErr w:type="spellStart"/>
      <w:r>
        <w:rPr>
          <w:rFonts w:ascii="Arial" w:hAnsi="Arial" w:cs="Arial"/>
          <w:sz w:val="22"/>
        </w:rPr>
        <w:t>Главульяновсстрой</w:t>
      </w:r>
      <w:proofErr w:type="spellEnd"/>
      <w:r>
        <w:rPr>
          <w:rFonts w:ascii="Arial" w:hAnsi="Arial" w:cs="Arial"/>
          <w:sz w:val="22"/>
        </w:rPr>
        <w:t xml:space="preserve"> с прямым подчинением Министерству строительства СССР. В состав его входило семь трестов из более двух деся</w:t>
      </w:r>
      <w:r>
        <w:rPr>
          <w:rFonts w:ascii="Arial" w:hAnsi="Arial" w:cs="Arial"/>
          <w:sz w:val="22"/>
        </w:rPr>
        <w:t>т</w:t>
      </w:r>
      <w:r>
        <w:rPr>
          <w:rFonts w:ascii="Arial" w:hAnsi="Arial" w:cs="Arial"/>
          <w:sz w:val="22"/>
        </w:rPr>
        <w:t xml:space="preserve">ков строительных и монтажных управлений. </w:t>
      </w:r>
    </w:p>
    <w:p w:rsidR="003C492E" w:rsidRDefault="003C492E" w:rsidP="003C492E">
      <w:pPr>
        <w:ind w:firstLine="709"/>
        <w:jc w:val="both"/>
        <w:rPr>
          <w:rFonts w:ascii="Arial" w:hAnsi="Arial" w:cs="Arial"/>
          <w:sz w:val="22"/>
        </w:rPr>
      </w:pPr>
      <w:r>
        <w:rPr>
          <w:rFonts w:ascii="Arial" w:hAnsi="Arial" w:cs="Arial"/>
          <w:sz w:val="22"/>
        </w:rPr>
        <w:t>За период 1966 – 1970 гг. сданы в эксплуатацию: заводы "</w:t>
      </w:r>
      <w:proofErr w:type="spellStart"/>
      <w:r>
        <w:rPr>
          <w:rFonts w:ascii="Arial" w:hAnsi="Arial" w:cs="Arial"/>
          <w:sz w:val="22"/>
        </w:rPr>
        <w:t>Ремстройдормаш</w:t>
      </w:r>
      <w:proofErr w:type="spellEnd"/>
      <w:r>
        <w:rPr>
          <w:rFonts w:ascii="Arial" w:hAnsi="Arial" w:cs="Arial"/>
          <w:sz w:val="22"/>
        </w:rPr>
        <w:t xml:space="preserve">", асбестоцементных изделий, </w:t>
      </w:r>
      <w:proofErr w:type="spellStart"/>
      <w:r>
        <w:rPr>
          <w:rFonts w:ascii="Arial" w:hAnsi="Arial" w:cs="Arial"/>
          <w:sz w:val="22"/>
        </w:rPr>
        <w:t>Димитровградский</w:t>
      </w:r>
      <w:proofErr w:type="spellEnd"/>
      <w:r>
        <w:rPr>
          <w:rFonts w:ascii="Arial" w:hAnsi="Arial" w:cs="Arial"/>
          <w:sz w:val="22"/>
        </w:rPr>
        <w:t xml:space="preserve"> авт</w:t>
      </w:r>
      <w:r>
        <w:rPr>
          <w:rFonts w:ascii="Arial" w:hAnsi="Arial" w:cs="Arial"/>
          <w:sz w:val="22"/>
        </w:rPr>
        <w:t>о</w:t>
      </w:r>
      <w:r>
        <w:rPr>
          <w:rFonts w:ascii="Arial" w:hAnsi="Arial" w:cs="Arial"/>
          <w:sz w:val="22"/>
        </w:rPr>
        <w:t xml:space="preserve">агрегатный завод, </w:t>
      </w:r>
      <w:proofErr w:type="spellStart"/>
      <w:r>
        <w:rPr>
          <w:rFonts w:ascii="Arial" w:hAnsi="Arial" w:cs="Arial"/>
          <w:sz w:val="22"/>
        </w:rPr>
        <w:t>Димитровградский</w:t>
      </w:r>
      <w:proofErr w:type="spellEnd"/>
      <w:r>
        <w:rPr>
          <w:rFonts w:ascii="Arial" w:hAnsi="Arial" w:cs="Arial"/>
          <w:sz w:val="22"/>
        </w:rPr>
        <w:t xml:space="preserve"> комбинат технических сукон, </w:t>
      </w:r>
      <w:proofErr w:type="spellStart"/>
      <w:r>
        <w:rPr>
          <w:rFonts w:ascii="Arial" w:hAnsi="Arial" w:cs="Arial"/>
          <w:sz w:val="22"/>
        </w:rPr>
        <w:t>Димитровградский</w:t>
      </w:r>
      <w:proofErr w:type="spellEnd"/>
      <w:r>
        <w:rPr>
          <w:rFonts w:ascii="Arial" w:hAnsi="Arial" w:cs="Arial"/>
          <w:sz w:val="22"/>
        </w:rPr>
        <w:t xml:space="preserve"> хлебозавод, </w:t>
      </w:r>
      <w:proofErr w:type="spellStart"/>
      <w:r>
        <w:rPr>
          <w:rFonts w:ascii="Arial" w:hAnsi="Arial" w:cs="Arial"/>
          <w:sz w:val="22"/>
        </w:rPr>
        <w:t>Цильнинский</w:t>
      </w:r>
      <w:proofErr w:type="spellEnd"/>
      <w:r>
        <w:rPr>
          <w:rFonts w:ascii="Arial" w:hAnsi="Arial" w:cs="Arial"/>
          <w:sz w:val="22"/>
        </w:rPr>
        <w:t xml:space="preserve"> сахарный завод, </w:t>
      </w:r>
      <w:proofErr w:type="spellStart"/>
      <w:r>
        <w:rPr>
          <w:rFonts w:ascii="Arial" w:hAnsi="Arial" w:cs="Arial"/>
          <w:sz w:val="22"/>
        </w:rPr>
        <w:t>Инзе</w:t>
      </w:r>
      <w:r>
        <w:rPr>
          <w:rFonts w:ascii="Arial" w:hAnsi="Arial" w:cs="Arial"/>
          <w:sz w:val="22"/>
        </w:rPr>
        <w:t>н</w:t>
      </w:r>
      <w:r>
        <w:rPr>
          <w:rFonts w:ascii="Arial" w:hAnsi="Arial" w:cs="Arial"/>
          <w:sz w:val="22"/>
        </w:rPr>
        <w:t>ский</w:t>
      </w:r>
      <w:proofErr w:type="spellEnd"/>
      <w:r>
        <w:rPr>
          <w:rFonts w:ascii="Arial" w:hAnsi="Arial" w:cs="Arial"/>
          <w:sz w:val="22"/>
        </w:rPr>
        <w:t xml:space="preserve"> завод фильтровального порошка, Ульяновский хлебозавод №3 и крупные предприятия мясной и молочной промышленности. </w:t>
      </w:r>
    </w:p>
    <w:p w:rsidR="003C492E" w:rsidRDefault="003C492E" w:rsidP="003C492E">
      <w:pPr>
        <w:ind w:firstLine="709"/>
        <w:jc w:val="both"/>
        <w:rPr>
          <w:rFonts w:ascii="Arial" w:hAnsi="Arial" w:cs="Arial"/>
          <w:sz w:val="22"/>
        </w:rPr>
      </w:pPr>
      <w:r>
        <w:rPr>
          <w:rFonts w:ascii="Arial" w:hAnsi="Arial" w:cs="Arial"/>
          <w:sz w:val="22"/>
        </w:rPr>
        <w:t xml:space="preserve">На 1 января 1966 года в области работало 292 </w:t>
      </w:r>
      <w:proofErr w:type="gramStart"/>
      <w:r>
        <w:rPr>
          <w:rFonts w:ascii="Arial" w:hAnsi="Arial" w:cs="Arial"/>
          <w:sz w:val="22"/>
        </w:rPr>
        <w:t>промышленных</w:t>
      </w:r>
      <w:proofErr w:type="gramEnd"/>
      <w:r>
        <w:rPr>
          <w:rFonts w:ascii="Arial" w:hAnsi="Arial" w:cs="Arial"/>
          <w:sz w:val="22"/>
        </w:rPr>
        <w:t xml:space="preserve"> предприятия. Основными отраслями промышленности являлись: машиностроение и металлообработка, лёгкая, пищевая, бумажная, деревообрабатывающая, а также промышленность строительных материалов.</w:t>
      </w:r>
    </w:p>
    <w:p w:rsidR="003C492E" w:rsidRDefault="003C492E" w:rsidP="003C492E">
      <w:pPr>
        <w:ind w:firstLine="709"/>
        <w:jc w:val="both"/>
        <w:rPr>
          <w:rFonts w:ascii="Arial" w:hAnsi="Arial" w:cs="Arial"/>
          <w:sz w:val="22"/>
        </w:rPr>
      </w:pPr>
      <w:r>
        <w:rPr>
          <w:rFonts w:ascii="Arial" w:hAnsi="Arial" w:cs="Arial"/>
          <w:sz w:val="22"/>
        </w:rPr>
        <w:t>Производство продукции предприятий машиностроения за 1961 – 1965 годы увеличилось в 1,8 раза, лёгкой промышленности – в 1,1 раза, пищевой – в 1,4, промышленности строительных материалов – в 2,6 раза.</w:t>
      </w:r>
    </w:p>
    <w:p w:rsidR="003C492E" w:rsidRDefault="003C492E" w:rsidP="003C492E">
      <w:pPr>
        <w:pStyle w:val="aa"/>
        <w:spacing w:line="240" w:lineRule="auto"/>
        <w:rPr>
          <w:rFonts w:cs="Arial"/>
          <w:sz w:val="22"/>
        </w:rPr>
      </w:pPr>
      <w:r>
        <w:rPr>
          <w:rFonts w:cs="Arial"/>
          <w:sz w:val="22"/>
        </w:rPr>
        <w:t>Ускоренными темпами развивалась отрасль «машиностроение и металлообработка», среднегодовой темп  её прироста составил 13 процентов. Было освоено производство ряда новых видов изделий: лодочных моторов, установочных автоматов, стиральных машин, автомобилей – фургонов марки УАЗ – 452, грузовых автомобилей – УАЗ 452</w:t>
      </w:r>
      <w:proofErr w:type="gramStart"/>
      <w:r>
        <w:rPr>
          <w:rFonts w:cs="Arial"/>
          <w:sz w:val="22"/>
        </w:rPr>
        <w:t xml:space="preserve"> Д</w:t>
      </w:r>
      <w:proofErr w:type="gramEnd"/>
      <w:r>
        <w:rPr>
          <w:rFonts w:cs="Arial"/>
          <w:sz w:val="22"/>
        </w:rPr>
        <w:t xml:space="preserve"> и УАЗ – 451 ДМ, санитарных автомобилей УАЗ – 452 А, новые марки малолитражных станков, новые серии автоматических воздушных выключателей.</w:t>
      </w:r>
    </w:p>
    <w:p w:rsidR="003C492E" w:rsidRDefault="003C492E" w:rsidP="003C492E">
      <w:pPr>
        <w:ind w:firstLine="709"/>
        <w:jc w:val="both"/>
        <w:rPr>
          <w:rFonts w:ascii="Arial" w:hAnsi="Arial" w:cs="Arial"/>
          <w:sz w:val="22"/>
        </w:rPr>
      </w:pPr>
      <w:r>
        <w:rPr>
          <w:rFonts w:ascii="Arial" w:hAnsi="Arial" w:cs="Arial"/>
          <w:sz w:val="22"/>
        </w:rPr>
        <w:t>Производственные основные фонды промышленности за 1961 – 1965 гг. возросли в 1,8 раза. Это увеличение было обеспечено за счёт ввода в эксплуатацию новых промышленных объектов, реконструкции и расширения действующих предприятий, замены устаревш</w:t>
      </w:r>
      <w:r>
        <w:rPr>
          <w:rFonts w:ascii="Arial" w:hAnsi="Arial" w:cs="Arial"/>
          <w:sz w:val="22"/>
        </w:rPr>
        <w:t>е</w:t>
      </w:r>
      <w:r>
        <w:rPr>
          <w:rFonts w:ascii="Arial" w:hAnsi="Arial" w:cs="Arial"/>
          <w:sz w:val="22"/>
        </w:rPr>
        <w:t>го оборудования новым, более совершенным.  Никогда ранее на предприятиях не вводилось в строй столько автоматизированных п</w:t>
      </w:r>
      <w:r>
        <w:rPr>
          <w:rFonts w:ascii="Arial" w:hAnsi="Arial" w:cs="Arial"/>
          <w:sz w:val="22"/>
        </w:rPr>
        <w:t>о</w:t>
      </w:r>
      <w:r>
        <w:rPr>
          <w:rFonts w:ascii="Arial" w:hAnsi="Arial" w:cs="Arial"/>
          <w:sz w:val="22"/>
        </w:rPr>
        <w:t>точных линий, как в те годы. Производительность труда поднялась на 43 процента. Ульяновские инженеры и конструкторы при решении ряда технических задач стали применять вычислительную технику.</w:t>
      </w:r>
    </w:p>
    <w:p w:rsidR="003C492E" w:rsidRDefault="003C492E" w:rsidP="003C492E">
      <w:pPr>
        <w:ind w:firstLine="709"/>
        <w:jc w:val="both"/>
        <w:rPr>
          <w:rFonts w:ascii="Arial" w:hAnsi="Arial" w:cs="Arial"/>
          <w:b/>
          <w:sz w:val="22"/>
        </w:rPr>
      </w:pPr>
      <w:r>
        <w:rPr>
          <w:rFonts w:ascii="Arial" w:hAnsi="Arial" w:cs="Arial"/>
          <w:b/>
          <w:sz w:val="22"/>
        </w:rPr>
        <w:t>Указом Президиума Верховного Совета СССР от 20 апреля 1966 года за достигнутые успехи в развитии народного хозя</w:t>
      </w:r>
      <w:r>
        <w:rPr>
          <w:rFonts w:ascii="Arial" w:hAnsi="Arial" w:cs="Arial"/>
          <w:b/>
          <w:sz w:val="22"/>
        </w:rPr>
        <w:t>й</w:t>
      </w:r>
      <w:r>
        <w:rPr>
          <w:rFonts w:ascii="Arial" w:hAnsi="Arial" w:cs="Arial"/>
          <w:b/>
          <w:sz w:val="22"/>
        </w:rPr>
        <w:t>ства Ульяновская область награждена орденом Ленина.</w:t>
      </w:r>
    </w:p>
    <w:p w:rsidR="003C492E" w:rsidRDefault="003C492E" w:rsidP="003C492E">
      <w:pPr>
        <w:ind w:firstLine="709"/>
        <w:jc w:val="both"/>
        <w:rPr>
          <w:rFonts w:ascii="Arial" w:hAnsi="Arial" w:cs="Arial"/>
          <w:sz w:val="22"/>
        </w:rPr>
      </w:pPr>
      <w:r>
        <w:rPr>
          <w:rFonts w:ascii="Arial" w:hAnsi="Arial" w:cs="Arial"/>
          <w:sz w:val="22"/>
        </w:rPr>
        <w:t xml:space="preserve">В начале новой пятилетки (1966-1970гг.) ульяновские предприятия стали переходить на новую систему хозяйствования. </w:t>
      </w:r>
    </w:p>
    <w:p w:rsidR="003C492E" w:rsidRDefault="003C492E" w:rsidP="003C492E">
      <w:pPr>
        <w:ind w:firstLine="709"/>
        <w:jc w:val="both"/>
        <w:rPr>
          <w:rFonts w:ascii="Arial" w:hAnsi="Arial" w:cs="Arial"/>
          <w:sz w:val="22"/>
        </w:rPr>
      </w:pPr>
      <w:r>
        <w:rPr>
          <w:rFonts w:ascii="Arial" w:hAnsi="Arial" w:cs="Arial"/>
          <w:sz w:val="22"/>
        </w:rPr>
        <w:t xml:space="preserve">  К концу 1968 года на новые принципы хозяйствования перешли 172 предприятия, выпускавшие более 80 процентов промышле</w:t>
      </w:r>
      <w:r>
        <w:rPr>
          <w:rFonts w:ascii="Arial" w:hAnsi="Arial" w:cs="Arial"/>
          <w:sz w:val="22"/>
        </w:rPr>
        <w:t>н</w:t>
      </w:r>
      <w:r>
        <w:rPr>
          <w:rFonts w:ascii="Arial" w:hAnsi="Arial" w:cs="Arial"/>
          <w:sz w:val="22"/>
        </w:rPr>
        <w:t>ной продукции области. В своём большинстве они добивались более высоких темпов роста производства и реализации продукции, лу</w:t>
      </w:r>
      <w:r>
        <w:rPr>
          <w:rFonts w:ascii="Arial" w:hAnsi="Arial" w:cs="Arial"/>
          <w:sz w:val="22"/>
        </w:rPr>
        <w:t>ч</w:t>
      </w:r>
      <w:r>
        <w:rPr>
          <w:rFonts w:ascii="Arial" w:hAnsi="Arial" w:cs="Arial"/>
          <w:sz w:val="22"/>
        </w:rPr>
        <w:t xml:space="preserve">ше использовали трудовые ресурсы, основные фонды и оборотные средства. Наряду с увеличением производства успешно осваивались новые виды изделий. Обновился ассортимент пальтовых тканей и драпов. Текстильщики  Мулловки впервые в практике отечественного производства создали жаккардовые ткани, которые по своей структуре и качеству отделки не уступали лучшим мировым стандартам. </w:t>
      </w:r>
    </w:p>
    <w:p w:rsidR="003C492E" w:rsidRDefault="003C492E" w:rsidP="003C492E">
      <w:pPr>
        <w:ind w:firstLine="709"/>
        <w:jc w:val="both"/>
        <w:rPr>
          <w:rFonts w:ascii="Arial" w:hAnsi="Arial" w:cs="Arial"/>
          <w:sz w:val="22"/>
        </w:rPr>
      </w:pPr>
      <w:r>
        <w:rPr>
          <w:rFonts w:ascii="Arial" w:hAnsi="Arial" w:cs="Arial"/>
          <w:sz w:val="22"/>
        </w:rPr>
        <w:t>На предприятиях области в годы пятилетки освоено производство 145 новых машин, станков и приборов, 86 видов тканей, более 600 моделей швейных и других изделий. Среди них продольно-фрезерные станки, предназначенные для обработки громоздких и тяж</w:t>
      </w:r>
      <w:r>
        <w:rPr>
          <w:rFonts w:ascii="Arial" w:hAnsi="Arial" w:cs="Arial"/>
          <w:sz w:val="22"/>
        </w:rPr>
        <w:t>ё</w:t>
      </w:r>
      <w:r>
        <w:rPr>
          <w:rFonts w:ascii="Arial" w:hAnsi="Arial" w:cs="Arial"/>
          <w:sz w:val="22"/>
        </w:rPr>
        <w:lastRenderedPageBreak/>
        <w:t>лых деталей весом до 30 т; лодочный мотор "Ветерок – 12"; семейство автомашин марки УАЗ – 452; новый фургон, грузовик, санитарная машина и 10-ти местный автобус; автоматические выключатели.</w:t>
      </w:r>
    </w:p>
    <w:p w:rsidR="003C492E" w:rsidRDefault="003C492E" w:rsidP="003C492E">
      <w:pPr>
        <w:ind w:firstLine="709"/>
        <w:jc w:val="both"/>
        <w:rPr>
          <w:rFonts w:ascii="Arial" w:hAnsi="Arial" w:cs="Arial"/>
          <w:sz w:val="22"/>
        </w:rPr>
      </w:pPr>
      <w:r>
        <w:rPr>
          <w:rFonts w:ascii="Arial" w:hAnsi="Arial" w:cs="Arial"/>
          <w:sz w:val="22"/>
        </w:rPr>
        <w:t>В дни подготовки к 100–</w:t>
      </w:r>
      <w:proofErr w:type="spellStart"/>
      <w:r>
        <w:rPr>
          <w:rFonts w:ascii="Arial" w:hAnsi="Arial" w:cs="Arial"/>
          <w:sz w:val="22"/>
        </w:rPr>
        <w:t>летию</w:t>
      </w:r>
      <w:proofErr w:type="spellEnd"/>
      <w:r>
        <w:rPr>
          <w:rFonts w:ascii="Arial" w:hAnsi="Arial" w:cs="Arial"/>
          <w:sz w:val="22"/>
        </w:rPr>
        <w:t xml:space="preserve"> со дня рождения В.И. Ленина коллектив Ульяновского завода тяжёлых и уникальных станков ос</w:t>
      </w:r>
      <w:r>
        <w:rPr>
          <w:rFonts w:ascii="Arial" w:hAnsi="Arial" w:cs="Arial"/>
          <w:sz w:val="22"/>
        </w:rPr>
        <w:t>у</w:t>
      </w:r>
      <w:r>
        <w:rPr>
          <w:rFonts w:ascii="Arial" w:hAnsi="Arial" w:cs="Arial"/>
          <w:sz w:val="22"/>
        </w:rPr>
        <w:t>ществил сборку первого сверхтяжёлого продольно-фрезерного станка модели 6640: высота станка – 9 м, длина – 33,5 м, вес – 500 тонн. На таком станке можно обрабатывать детали весом до 150 тонн.</w:t>
      </w:r>
    </w:p>
    <w:p w:rsidR="003C492E" w:rsidRDefault="003C492E" w:rsidP="003C492E">
      <w:pPr>
        <w:ind w:firstLine="709"/>
        <w:jc w:val="both"/>
        <w:rPr>
          <w:rFonts w:ascii="Arial" w:hAnsi="Arial" w:cs="Arial"/>
          <w:sz w:val="22"/>
        </w:rPr>
      </w:pPr>
      <w:r>
        <w:rPr>
          <w:rFonts w:ascii="Arial" w:hAnsi="Arial" w:cs="Arial"/>
          <w:sz w:val="22"/>
        </w:rPr>
        <w:t>Работники предприятий развернули борьбу за научную организацию труда на производстве. На предприятиях области создав</w:t>
      </w:r>
      <w:r>
        <w:rPr>
          <w:rFonts w:ascii="Arial" w:hAnsi="Arial" w:cs="Arial"/>
          <w:sz w:val="22"/>
        </w:rPr>
        <w:t>а</w:t>
      </w:r>
      <w:r>
        <w:rPr>
          <w:rFonts w:ascii="Arial" w:hAnsi="Arial" w:cs="Arial"/>
          <w:sz w:val="22"/>
        </w:rPr>
        <w:t>лись советы, отделы, бюро и творческие бригады НОТ (научной организации труда). Они разрабатывали тысячи рацпредложений, вне</w:t>
      </w:r>
      <w:r>
        <w:rPr>
          <w:rFonts w:ascii="Arial" w:hAnsi="Arial" w:cs="Arial"/>
          <w:sz w:val="22"/>
        </w:rPr>
        <w:t>д</w:t>
      </w:r>
      <w:r>
        <w:rPr>
          <w:rFonts w:ascii="Arial" w:hAnsi="Arial" w:cs="Arial"/>
          <w:sz w:val="22"/>
        </w:rPr>
        <w:t>ряли в производство передовой опыт, достижения науки и техники. Только за один 1968 год от внедрения в производство планов и мер</w:t>
      </w:r>
      <w:r>
        <w:rPr>
          <w:rFonts w:ascii="Arial" w:hAnsi="Arial" w:cs="Arial"/>
          <w:sz w:val="22"/>
        </w:rPr>
        <w:t>о</w:t>
      </w:r>
      <w:r>
        <w:rPr>
          <w:rFonts w:ascii="Arial" w:hAnsi="Arial" w:cs="Arial"/>
          <w:sz w:val="22"/>
        </w:rPr>
        <w:t xml:space="preserve">приятий НОТ получено 4,8 млн. рублей экономического эффекта. За период 1961-1968 гг. среднегодовой темп прироста промышленной продукции в области составил 9,7 процента (для сравнения в целом по СССР – 8,7 процента, по РСФСР – 8,05 процента). </w:t>
      </w:r>
    </w:p>
    <w:p w:rsidR="003C492E" w:rsidRDefault="003C492E" w:rsidP="003C492E">
      <w:pPr>
        <w:ind w:firstLine="709"/>
        <w:jc w:val="both"/>
        <w:rPr>
          <w:rFonts w:ascii="Arial" w:hAnsi="Arial" w:cs="Arial"/>
          <w:sz w:val="22"/>
        </w:rPr>
      </w:pPr>
      <w:r>
        <w:rPr>
          <w:rFonts w:ascii="Arial" w:hAnsi="Arial" w:cs="Arial"/>
          <w:sz w:val="22"/>
        </w:rPr>
        <w:t>В 1964 году коллектив Ульяновского автозавода отмечал радостные события: дала чугун первая вагранка, в строй вступила пе</w:t>
      </w:r>
      <w:r>
        <w:rPr>
          <w:rFonts w:ascii="Arial" w:hAnsi="Arial" w:cs="Arial"/>
          <w:sz w:val="22"/>
        </w:rPr>
        <w:t>р</w:t>
      </w:r>
      <w:r>
        <w:rPr>
          <w:rFonts w:ascii="Arial" w:hAnsi="Arial" w:cs="Arial"/>
          <w:sz w:val="22"/>
        </w:rPr>
        <w:t>вая очередь цеха ковкого чугуна производственной мощностью 8,5 тыс. тонн в год. К концу 1965 года было закончено строительство бл</w:t>
      </w:r>
      <w:r>
        <w:rPr>
          <w:rFonts w:ascii="Arial" w:hAnsi="Arial" w:cs="Arial"/>
          <w:sz w:val="22"/>
        </w:rPr>
        <w:t>о</w:t>
      </w:r>
      <w:r>
        <w:rPr>
          <w:rFonts w:ascii="Arial" w:hAnsi="Arial" w:cs="Arial"/>
          <w:sz w:val="22"/>
        </w:rPr>
        <w:t xml:space="preserve">ка литейных цехов автозавода. В эти же годы введены в действие </w:t>
      </w:r>
      <w:proofErr w:type="spellStart"/>
      <w:r>
        <w:rPr>
          <w:rFonts w:ascii="Arial" w:hAnsi="Arial" w:cs="Arial"/>
          <w:sz w:val="22"/>
        </w:rPr>
        <w:t>Карсунская</w:t>
      </w:r>
      <w:proofErr w:type="spellEnd"/>
      <w:r>
        <w:rPr>
          <w:rFonts w:ascii="Arial" w:hAnsi="Arial" w:cs="Arial"/>
          <w:sz w:val="22"/>
        </w:rPr>
        <w:t xml:space="preserve">  чулочно-носочная фабрика мощностью 8 млн. пар чуло</w:t>
      </w:r>
      <w:r>
        <w:rPr>
          <w:rFonts w:ascii="Arial" w:hAnsi="Arial" w:cs="Arial"/>
          <w:sz w:val="22"/>
        </w:rPr>
        <w:t>ч</w:t>
      </w:r>
      <w:r>
        <w:rPr>
          <w:rFonts w:ascii="Arial" w:hAnsi="Arial" w:cs="Arial"/>
          <w:sz w:val="22"/>
        </w:rPr>
        <w:t xml:space="preserve">но-носочных изделий в год, Павловский завод сухого молока, </w:t>
      </w:r>
      <w:proofErr w:type="spellStart"/>
      <w:r>
        <w:rPr>
          <w:rFonts w:ascii="Arial" w:hAnsi="Arial" w:cs="Arial"/>
          <w:sz w:val="22"/>
        </w:rPr>
        <w:t>Сенгилеевский</w:t>
      </w:r>
      <w:proofErr w:type="spellEnd"/>
      <w:r>
        <w:rPr>
          <w:rFonts w:ascii="Arial" w:hAnsi="Arial" w:cs="Arial"/>
          <w:sz w:val="22"/>
        </w:rPr>
        <w:t xml:space="preserve"> овощеконсервный завод, </w:t>
      </w:r>
      <w:proofErr w:type="spellStart"/>
      <w:r>
        <w:rPr>
          <w:rFonts w:ascii="Arial" w:hAnsi="Arial" w:cs="Arial"/>
          <w:sz w:val="22"/>
        </w:rPr>
        <w:t>Цильнинский</w:t>
      </w:r>
      <w:proofErr w:type="spellEnd"/>
      <w:r>
        <w:rPr>
          <w:rFonts w:ascii="Arial" w:hAnsi="Arial" w:cs="Arial"/>
          <w:sz w:val="22"/>
        </w:rPr>
        <w:t xml:space="preserve"> хлебозавод. В 1967 году в области вошли в строй </w:t>
      </w:r>
      <w:proofErr w:type="gramStart"/>
      <w:r>
        <w:rPr>
          <w:rFonts w:ascii="Arial" w:hAnsi="Arial" w:cs="Arial"/>
          <w:sz w:val="22"/>
        </w:rPr>
        <w:t>действующих</w:t>
      </w:r>
      <w:proofErr w:type="gramEnd"/>
      <w:r>
        <w:rPr>
          <w:rFonts w:ascii="Arial" w:hAnsi="Arial" w:cs="Arial"/>
          <w:sz w:val="22"/>
        </w:rPr>
        <w:t xml:space="preserve">: </w:t>
      </w:r>
      <w:proofErr w:type="spellStart"/>
      <w:r>
        <w:rPr>
          <w:rFonts w:ascii="Arial" w:hAnsi="Arial" w:cs="Arial"/>
          <w:sz w:val="22"/>
        </w:rPr>
        <w:t>Цильнинский</w:t>
      </w:r>
      <w:proofErr w:type="spellEnd"/>
      <w:r>
        <w:rPr>
          <w:rFonts w:ascii="Arial" w:hAnsi="Arial" w:cs="Arial"/>
          <w:sz w:val="22"/>
        </w:rPr>
        <w:t xml:space="preserve"> сахарный завод,  </w:t>
      </w:r>
      <w:proofErr w:type="spellStart"/>
      <w:r>
        <w:rPr>
          <w:rFonts w:ascii="Arial" w:hAnsi="Arial" w:cs="Arial"/>
          <w:sz w:val="22"/>
        </w:rPr>
        <w:t>хлебокомбинат</w:t>
      </w:r>
      <w:proofErr w:type="spellEnd"/>
      <w:r>
        <w:rPr>
          <w:rFonts w:ascii="Arial" w:hAnsi="Arial" w:cs="Arial"/>
          <w:sz w:val="22"/>
        </w:rPr>
        <w:t xml:space="preserve"> в Железнодорожном  районе города Ульяно</w:t>
      </w:r>
      <w:r>
        <w:rPr>
          <w:rFonts w:ascii="Arial" w:hAnsi="Arial" w:cs="Arial"/>
          <w:sz w:val="22"/>
        </w:rPr>
        <w:t>в</w:t>
      </w:r>
      <w:r>
        <w:rPr>
          <w:rFonts w:ascii="Arial" w:hAnsi="Arial" w:cs="Arial"/>
          <w:sz w:val="22"/>
        </w:rPr>
        <w:t>ска.</w:t>
      </w:r>
    </w:p>
    <w:p w:rsidR="003C492E" w:rsidRDefault="003C492E" w:rsidP="003C492E">
      <w:pPr>
        <w:ind w:firstLine="709"/>
        <w:jc w:val="both"/>
        <w:rPr>
          <w:rFonts w:ascii="Arial" w:hAnsi="Arial" w:cs="Arial"/>
          <w:sz w:val="22"/>
        </w:rPr>
      </w:pPr>
      <w:proofErr w:type="gramStart"/>
      <w:r>
        <w:rPr>
          <w:rFonts w:ascii="Arial" w:hAnsi="Arial" w:cs="Arial"/>
          <w:sz w:val="22"/>
        </w:rPr>
        <w:t>За период с 1943 года по настоящее время промышленными предприятиями и организациями было освоено производство многих новых видов продукции производственно-технического назначения и потребительских товаров: автомобилей (1943 г.), электродвигателей переменного тока и хлопчатобумажных тканей в (1945г.) году, кранов на автомобильном ходу (1950 г.), нетканых материалов (1953 г.), стеновых панелей, мебели (1955 г.), приборов, средств автоматизации, цепей пильных, швейных изделий, водки и</w:t>
      </w:r>
      <w:proofErr w:type="gramEnd"/>
      <w:r w:rsidR="00406629">
        <w:rPr>
          <w:rFonts w:ascii="Arial" w:hAnsi="Arial" w:cs="Arial"/>
          <w:sz w:val="22"/>
        </w:rPr>
        <w:t xml:space="preserve"> </w:t>
      </w:r>
      <w:proofErr w:type="gramStart"/>
      <w:r>
        <w:rPr>
          <w:rFonts w:ascii="Arial" w:hAnsi="Arial" w:cs="Arial"/>
          <w:sz w:val="22"/>
        </w:rPr>
        <w:t>ликероводочных изд</w:t>
      </w:r>
      <w:r>
        <w:rPr>
          <w:rFonts w:ascii="Arial" w:hAnsi="Arial" w:cs="Arial"/>
          <w:sz w:val="22"/>
        </w:rPr>
        <w:t>е</w:t>
      </w:r>
      <w:r>
        <w:rPr>
          <w:rFonts w:ascii="Arial" w:hAnsi="Arial" w:cs="Arial"/>
          <w:sz w:val="22"/>
        </w:rPr>
        <w:t>лий, пива (1958 г.), талей электрических, лодочных моторов, ковров и ковровых изделий (1961 г.), нефти, шифера, минеральной ваты и изделий из нее (1962 г.), мягкой кровли (1964 г.), линолеума, сахара-песка (1967 г.), автомобильных двигателей (1970 г.), кранов на гус</w:t>
      </w:r>
      <w:r>
        <w:rPr>
          <w:rFonts w:ascii="Arial" w:hAnsi="Arial" w:cs="Arial"/>
          <w:sz w:val="22"/>
        </w:rPr>
        <w:t>е</w:t>
      </w:r>
      <w:r>
        <w:rPr>
          <w:rFonts w:ascii="Arial" w:hAnsi="Arial" w:cs="Arial"/>
          <w:sz w:val="22"/>
        </w:rPr>
        <w:t>ничном ходу, минеральной воды (1977 г.), пассажирских и грузовых самолетов (1985 г.), майонеза, консервов молочных (1986 г.), паркета (1990 г.), пленочных</w:t>
      </w:r>
      <w:proofErr w:type="gramEnd"/>
      <w:r>
        <w:rPr>
          <w:rFonts w:ascii="Arial" w:hAnsi="Arial" w:cs="Arial"/>
          <w:sz w:val="22"/>
        </w:rPr>
        <w:t xml:space="preserve"> </w:t>
      </w:r>
      <w:proofErr w:type="gramStart"/>
      <w:r>
        <w:rPr>
          <w:rFonts w:ascii="Arial" w:hAnsi="Arial" w:cs="Arial"/>
          <w:sz w:val="22"/>
        </w:rPr>
        <w:t>материалов</w:t>
      </w:r>
      <w:proofErr w:type="gramEnd"/>
      <w:r>
        <w:rPr>
          <w:rFonts w:ascii="Arial" w:hAnsi="Arial" w:cs="Arial"/>
          <w:sz w:val="22"/>
        </w:rPr>
        <w:t xml:space="preserve"> (</w:t>
      </w:r>
      <w:proofErr w:type="gramStart"/>
      <w:r>
        <w:rPr>
          <w:rFonts w:ascii="Arial" w:hAnsi="Arial" w:cs="Arial"/>
          <w:sz w:val="22"/>
        </w:rPr>
        <w:t xml:space="preserve">1997 г.). </w:t>
      </w:r>
      <w:proofErr w:type="gramEnd"/>
    </w:p>
    <w:p w:rsidR="003C492E" w:rsidRDefault="003C492E" w:rsidP="003C492E">
      <w:pPr>
        <w:ind w:firstLine="709"/>
        <w:jc w:val="both"/>
        <w:rPr>
          <w:rFonts w:ascii="Arial" w:hAnsi="Arial" w:cs="Arial"/>
          <w:sz w:val="22"/>
        </w:rPr>
      </w:pPr>
      <w:r>
        <w:rPr>
          <w:rFonts w:ascii="Arial" w:hAnsi="Arial" w:cs="Arial"/>
          <w:sz w:val="22"/>
        </w:rPr>
        <w:t>В 1970 году в связи со 100–</w:t>
      </w:r>
      <w:proofErr w:type="spellStart"/>
      <w:r>
        <w:rPr>
          <w:rFonts w:ascii="Arial" w:hAnsi="Arial" w:cs="Arial"/>
          <w:sz w:val="22"/>
        </w:rPr>
        <w:t>летием</w:t>
      </w:r>
      <w:proofErr w:type="spellEnd"/>
      <w:r>
        <w:rPr>
          <w:rFonts w:ascii="Arial" w:hAnsi="Arial" w:cs="Arial"/>
          <w:sz w:val="22"/>
        </w:rPr>
        <w:t xml:space="preserve"> со дня рождения В.И. Ленина резко изменился облик областного центра - города Ульяновска. Были построены архитектурные сооружения, определяющие во многом сегодняшний внешний вид  города: Ленинский мемориал, здание педагогического института (университета), новый учебный корпус средней  школы №1, высотная гостиница "Венец", Дворец культуры профсоюзов (</w:t>
      </w:r>
      <w:r w:rsidR="008B1906">
        <w:rPr>
          <w:rFonts w:ascii="Arial" w:hAnsi="Arial" w:cs="Arial"/>
          <w:sz w:val="22"/>
        </w:rPr>
        <w:t>дворец культуры «Губернаторский»</w:t>
      </w:r>
      <w:r>
        <w:rPr>
          <w:rFonts w:ascii="Arial" w:hAnsi="Arial" w:cs="Arial"/>
          <w:sz w:val="22"/>
        </w:rPr>
        <w:t>), гостиница "Советская", Дворец пионеров и школьников, детская областная библиот</w:t>
      </w:r>
      <w:r>
        <w:rPr>
          <w:rFonts w:ascii="Arial" w:hAnsi="Arial" w:cs="Arial"/>
          <w:sz w:val="22"/>
        </w:rPr>
        <w:t>е</w:t>
      </w:r>
      <w:r>
        <w:rPr>
          <w:rFonts w:ascii="Arial" w:hAnsi="Arial" w:cs="Arial"/>
          <w:sz w:val="22"/>
        </w:rPr>
        <w:t>ка, центральный универмаг и новый драматический театр.</w:t>
      </w:r>
    </w:p>
    <w:p w:rsidR="003C492E" w:rsidRDefault="003C492E" w:rsidP="003C492E">
      <w:pPr>
        <w:ind w:firstLine="709"/>
        <w:jc w:val="both"/>
        <w:rPr>
          <w:rFonts w:ascii="Arial" w:hAnsi="Arial" w:cs="Arial"/>
          <w:b/>
          <w:bCs/>
          <w:sz w:val="22"/>
        </w:rPr>
      </w:pPr>
      <w:r>
        <w:rPr>
          <w:rFonts w:ascii="Arial" w:hAnsi="Arial" w:cs="Arial"/>
          <w:b/>
          <w:bCs/>
          <w:sz w:val="22"/>
        </w:rPr>
        <w:t>Указом Президиума Верховного Совета СССР от 11 декабря 1970 года за большие успехи, достигнутые трудящимися г</w:t>
      </w:r>
      <w:r>
        <w:rPr>
          <w:rFonts w:ascii="Arial" w:hAnsi="Arial" w:cs="Arial"/>
          <w:b/>
          <w:bCs/>
          <w:sz w:val="22"/>
        </w:rPr>
        <w:t>о</w:t>
      </w:r>
      <w:r>
        <w:rPr>
          <w:rFonts w:ascii="Arial" w:hAnsi="Arial" w:cs="Arial"/>
          <w:b/>
          <w:bCs/>
          <w:sz w:val="22"/>
        </w:rPr>
        <w:t>рода в хозяйственном и культурном строительстве, в выполнении заданий восьмого пятилетнего плана по развитию промы</w:t>
      </w:r>
      <w:r>
        <w:rPr>
          <w:rFonts w:ascii="Arial" w:hAnsi="Arial" w:cs="Arial"/>
          <w:b/>
          <w:bCs/>
          <w:sz w:val="22"/>
        </w:rPr>
        <w:t>ш</w:t>
      </w:r>
      <w:r>
        <w:rPr>
          <w:rFonts w:ascii="Arial" w:hAnsi="Arial" w:cs="Arial"/>
          <w:b/>
          <w:bCs/>
          <w:sz w:val="22"/>
        </w:rPr>
        <w:t>ленного производства, Ульяновск награждён орденом Ленина.</w:t>
      </w:r>
    </w:p>
    <w:p w:rsidR="003C492E" w:rsidRDefault="003C492E" w:rsidP="003C492E">
      <w:pPr>
        <w:pStyle w:val="33"/>
        <w:rPr>
          <w:rFonts w:ascii="Arial" w:hAnsi="Arial" w:cs="Arial"/>
          <w:sz w:val="22"/>
        </w:rPr>
      </w:pPr>
      <w:r>
        <w:rPr>
          <w:rFonts w:ascii="Arial" w:hAnsi="Arial" w:cs="Arial"/>
          <w:sz w:val="22"/>
        </w:rPr>
        <w:t>В середине 70-х годов началось строительство гиганта авиастроения – завода "Авиастар", одновременно с которым возводился город-спутник г</w:t>
      </w:r>
      <w:proofErr w:type="gramStart"/>
      <w:r>
        <w:rPr>
          <w:rFonts w:ascii="Arial" w:hAnsi="Arial" w:cs="Arial"/>
          <w:sz w:val="22"/>
        </w:rPr>
        <w:t>.У</w:t>
      </w:r>
      <w:proofErr w:type="gramEnd"/>
      <w:r>
        <w:rPr>
          <w:rFonts w:ascii="Arial" w:hAnsi="Arial" w:cs="Arial"/>
          <w:sz w:val="22"/>
        </w:rPr>
        <w:t>льяновска. Комплексность – отличительная особенность новых районов города, когда одновременно с жилыми домами сооружались культурно-бытовые, торговые и коммунальные объекты.</w:t>
      </w:r>
    </w:p>
    <w:p w:rsidR="003C492E" w:rsidRDefault="003C492E" w:rsidP="003C492E">
      <w:pPr>
        <w:ind w:firstLine="709"/>
        <w:jc w:val="both"/>
        <w:rPr>
          <w:rFonts w:ascii="Arial" w:hAnsi="Arial" w:cs="Arial"/>
          <w:sz w:val="22"/>
        </w:rPr>
      </w:pPr>
      <w:r>
        <w:rPr>
          <w:rFonts w:ascii="Arial" w:hAnsi="Arial" w:cs="Arial"/>
          <w:sz w:val="22"/>
        </w:rPr>
        <w:t xml:space="preserve">За 1959 – 1968 гг. значительно возросли капитальные вложения в сельское хозяйство. Удельный вес </w:t>
      </w:r>
      <w:proofErr w:type="spellStart"/>
      <w:r>
        <w:rPr>
          <w:rFonts w:ascii="Arial" w:hAnsi="Arial" w:cs="Arial"/>
          <w:sz w:val="22"/>
        </w:rPr>
        <w:t>госкапвложений</w:t>
      </w:r>
      <w:proofErr w:type="spellEnd"/>
      <w:r>
        <w:rPr>
          <w:rFonts w:ascii="Arial" w:hAnsi="Arial" w:cs="Arial"/>
          <w:sz w:val="22"/>
        </w:rPr>
        <w:t xml:space="preserve"> произво</w:t>
      </w:r>
      <w:r>
        <w:rPr>
          <w:rFonts w:ascii="Arial" w:hAnsi="Arial" w:cs="Arial"/>
          <w:sz w:val="22"/>
        </w:rPr>
        <w:t>д</w:t>
      </w:r>
      <w:r>
        <w:rPr>
          <w:rFonts w:ascii="Arial" w:hAnsi="Arial" w:cs="Arial"/>
          <w:sz w:val="22"/>
        </w:rPr>
        <w:t>ственного назначения, направленных в сельское хозяйство, возрос с 4 до 24 процентов общего объёма капитальных вложений области. За послевоенный период до 1968 года государство вложило в капитальное строительство в сельской местности 315,2 млн. рублей, со</w:t>
      </w:r>
      <w:r>
        <w:rPr>
          <w:rFonts w:ascii="Arial" w:hAnsi="Arial" w:cs="Arial"/>
          <w:sz w:val="22"/>
        </w:rPr>
        <w:t>б</w:t>
      </w:r>
      <w:r>
        <w:rPr>
          <w:rFonts w:ascii="Arial" w:hAnsi="Arial" w:cs="Arial"/>
          <w:sz w:val="22"/>
        </w:rPr>
        <w:t>ственные капиталовложения колхозов области составили 326 млн. рублей. На эти средства сооружены животноводческие и птицеводч</w:t>
      </w:r>
      <w:r>
        <w:rPr>
          <w:rFonts w:ascii="Arial" w:hAnsi="Arial" w:cs="Arial"/>
          <w:sz w:val="22"/>
        </w:rPr>
        <w:t>е</w:t>
      </w:r>
      <w:r>
        <w:rPr>
          <w:rFonts w:ascii="Arial" w:hAnsi="Arial" w:cs="Arial"/>
          <w:sz w:val="22"/>
        </w:rPr>
        <w:lastRenderedPageBreak/>
        <w:t>ские постройки более чем на 3,5 млн. мест, сотни складов, овоще - и картофелехранилищ, гаражей и мастерских, подсобных промы</w:t>
      </w:r>
      <w:r>
        <w:rPr>
          <w:rFonts w:ascii="Arial" w:hAnsi="Arial" w:cs="Arial"/>
          <w:sz w:val="22"/>
        </w:rPr>
        <w:t>ш</w:t>
      </w:r>
      <w:r>
        <w:rPr>
          <w:rFonts w:ascii="Arial" w:hAnsi="Arial" w:cs="Arial"/>
          <w:sz w:val="22"/>
        </w:rPr>
        <w:t>ленных объектов, много жилья и культурно-бытовых зданий.</w:t>
      </w:r>
    </w:p>
    <w:p w:rsidR="003C492E" w:rsidRDefault="003C492E" w:rsidP="003C492E">
      <w:pPr>
        <w:ind w:firstLine="709"/>
        <w:jc w:val="both"/>
        <w:rPr>
          <w:rFonts w:ascii="Arial" w:hAnsi="Arial" w:cs="Arial"/>
          <w:sz w:val="22"/>
        </w:rPr>
      </w:pPr>
      <w:r>
        <w:rPr>
          <w:rFonts w:ascii="Arial" w:hAnsi="Arial" w:cs="Arial"/>
          <w:sz w:val="22"/>
        </w:rPr>
        <w:t>Неуклонный рост капитальных вложений обеспечивал высокие темпы воспроизводства основных фондов колхозов и совхозов. Только за 1959 – 1965 гг. материально-техническая база колхозов и совхозов области расширилась почти вдвое. За 1961 – 1965 гг. сел</w:t>
      </w:r>
      <w:r>
        <w:rPr>
          <w:rFonts w:ascii="Arial" w:hAnsi="Arial" w:cs="Arial"/>
          <w:sz w:val="22"/>
        </w:rPr>
        <w:t>ь</w:t>
      </w:r>
      <w:r>
        <w:rPr>
          <w:rFonts w:ascii="Arial" w:hAnsi="Arial" w:cs="Arial"/>
          <w:sz w:val="22"/>
        </w:rPr>
        <w:t>ское хозяйство области получило около 7 тысяч тракторов, 5,5 тыс. комбайнов. К 1965 году были электрифицированы  99 процентов ко</w:t>
      </w:r>
      <w:r>
        <w:rPr>
          <w:rFonts w:ascii="Arial" w:hAnsi="Arial" w:cs="Arial"/>
          <w:sz w:val="22"/>
        </w:rPr>
        <w:t>л</w:t>
      </w:r>
      <w:r>
        <w:rPr>
          <w:rFonts w:ascii="Arial" w:hAnsi="Arial" w:cs="Arial"/>
          <w:sz w:val="22"/>
        </w:rPr>
        <w:t>хозов и 100 процентов совхозов. В крупную подрядную организацию превратился трест "</w:t>
      </w:r>
      <w:proofErr w:type="spellStart"/>
      <w:r>
        <w:rPr>
          <w:rFonts w:ascii="Arial" w:hAnsi="Arial" w:cs="Arial"/>
          <w:sz w:val="22"/>
        </w:rPr>
        <w:t>Ульяновсксельстрой</w:t>
      </w:r>
      <w:proofErr w:type="spellEnd"/>
      <w:r>
        <w:rPr>
          <w:rFonts w:ascii="Arial" w:hAnsi="Arial" w:cs="Arial"/>
          <w:sz w:val="22"/>
        </w:rPr>
        <w:t>", занимающийся госуда</w:t>
      </w:r>
      <w:r>
        <w:rPr>
          <w:rFonts w:ascii="Arial" w:hAnsi="Arial" w:cs="Arial"/>
          <w:sz w:val="22"/>
        </w:rPr>
        <w:t>р</w:t>
      </w:r>
      <w:r>
        <w:rPr>
          <w:rFonts w:ascii="Arial" w:hAnsi="Arial" w:cs="Arial"/>
          <w:sz w:val="22"/>
        </w:rPr>
        <w:t>ственным строительством на селе. Для сооружения объектов в колхозах в 1970 г. работали 24 межколхозные организации, входившие в объединение "</w:t>
      </w:r>
      <w:proofErr w:type="spellStart"/>
      <w:r>
        <w:rPr>
          <w:rFonts w:ascii="Arial" w:hAnsi="Arial" w:cs="Arial"/>
          <w:sz w:val="22"/>
        </w:rPr>
        <w:t>Облмежколхозстрой</w:t>
      </w:r>
      <w:proofErr w:type="spellEnd"/>
      <w:r>
        <w:rPr>
          <w:rFonts w:ascii="Arial" w:hAnsi="Arial" w:cs="Arial"/>
          <w:sz w:val="22"/>
        </w:rPr>
        <w:t>".</w:t>
      </w:r>
    </w:p>
    <w:p w:rsidR="003C492E" w:rsidRDefault="003C492E" w:rsidP="003C492E">
      <w:pPr>
        <w:ind w:firstLine="709"/>
        <w:jc w:val="both"/>
        <w:rPr>
          <w:rFonts w:ascii="Arial" w:hAnsi="Arial" w:cs="Arial"/>
          <w:sz w:val="22"/>
        </w:rPr>
      </w:pPr>
      <w:r>
        <w:rPr>
          <w:rFonts w:ascii="Arial" w:hAnsi="Arial" w:cs="Arial"/>
          <w:sz w:val="22"/>
        </w:rPr>
        <w:t>В сельском хозяйстве области ведущее место занимало растениеводство. За 1951 – 1965 гг. посевные площади расширились б</w:t>
      </w:r>
      <w:r>
        <w:rPr>
          <w:rFonts w:ascii="Arial" w:hAnsi="Arial" w:cs="Arial"/>
          <w:sz w:val="22"/>
        </w:rPr>
        <w:t>о</w:t>
      </w:r>
      <w:r>
        <w:rPr>
          <w:rFonts w:ascii="Arial" w:hAnsi="Arial" w:cs="Arial"/>
          <w:sz w:val="22"/>
        </w:rPr>
        <w:t xml:space="preserve">лее чем на 320 тыс. га и достигли 1,8 млн. га. В основном прирост посевной площади в области используется для увеличения кормов. Среднегодовое производство зерна составило: в 1951 – 1955 гг. 863 тыс. тонн; в 1956 – 1960 гг. – 914; в 1961 – 1965 гг. – 1149 тыс. тонн. Рост производства зерна был обеспечен повышением урожайности зерновых культур. Среднегодовая урожайность зерна составила: за 1951 – 1955 гг. – 7,5 ц с </w:t>
      </w:r>
      <w:proofErr w:type="gramStart"/>
      <w:r>
        <w:rPr>
          <w:rFonts w:ascii="Arial" w:hAnsi="Arial" w:cs="Arial"/>
          <w:sz w:val="22"/>
        </w:rPr>
        <w:t>га</w:t>
      </w:r>
      <w:proofErr w:type="gramEnd"/>
      <w:r>
        <w:rPr>
          <w:rFonts w:ascii="Arial" w:hAnsi="Arial" w:cs="Arial"/>
          <w:sz w:val="22"/>
        </w:rPr>
        <w:t>, за 1956 – 1960 гг. – 8,7, за 1961 – 1965 гг. – 9,9 ц с га.</w:t>
      </w:r>
    </w:p>
    <w:p w:rsidR="003C492E" w:rsidRDefault="003C492E" w:rsidP="003C492E">
      <w:pPr>
        <w:ind w:firstLine="709"/>
        <w:jc w:val="both"/>
        <w:rPr>
          <w:rFonts w:ascii="Arial" w:hAnsi="Arial" w:cs="Arial"/>
          <w:sz w:val="22"/>
        </w:rPr>
      </w:pPr>
      <w:r>
        <w:rPr>
          <w:rFonts w:ascii="Arial" w:hAnsi="Arial" w:cs="Arial"/>
          <w:sz w:val="22"/>
        </w:rPr>
        <w:t>Послевоенный период характеризуется повышением культуры земледелия. Хозяйства области в основном перешли на сплошные посевы сортовыми семенами зерновых культур, подсолнечника, кукурузы и сахарной свеклы.</w:t>
      </w:r>
    </w:p>
    <w:p w:rsidR="003C492E" w:rsidRDefault="003C492E" w:rsidP="003C492E">
      <w:pPr>
        <w:ind w:firstLine="709"/>
        <w:jc w:val="both"/>
        <w:rPr>
          <w:rFonts w:ascii="Arial" w:hAnsi="Arial" w:cs="Arial"/>
          <w:sz w:val="22"/>
        </w:rPr>
      </w:pPr>
      <w:r>
        <w:rPr>
          <w:rFonts w:ascii="Arial" w:hAnsi="Arial" w:cs="Arial"/>
          <w:sz w:val="22"/>
        </w:rPr>
        <w:t>В послевоенный период была проделана огромная работа по преодолению отставания общественного животноводства.</w:t>
      </w:r>
    </w:p>
    <w:p w:rsidR="003C492E" w:rsidRDefault="003C492E" w:rsidP="003C492E">
      <w:pPr>
        <w:ind w:firstLine="709"/>
        <w:jc w:val="both"/>
        <w:rPr>
          <w:rFonts w:ascii="Arial" w:hAnsi="Arial" w:cs="Arial"/>
          <w:sz w:val="22"/>
        </w:rPr>
      </w:pPr>
      <w:r>
        <w:rPr>
          <w:rFonts w:ascii="Arial" w:hAnsi="Arial" w:cs="Arial"/>
          <w:sz w:val="22"/>
        </w:rPr>
        <w:t xml:space="preserve">В хозяйствах области повышалась продуктивность скота и птицы в колхозах и совхозах. Средний удой от одной коровы возрос с 1265 кг в 1940 году до 1930 кг в 1965 году. Яйценоскость кур повысилась с 57 штук от одной курицы-несушки в 1958 году до 140 штук в 1965 году. В хозяйствах области повысился уровень воспроизводства стада. </w:t>
      </w:r>
      <w:proofErr w:type="gramStart"/>
      <w:r>
        <w:rPr>
          <w:rFonts w:ascii="Arial" w:hAnsi="Arial" w:cs="Arial"/>
          <w:sz w:val="22"/>
        </w:rPr>
        <w:t>В 1965 году в сравнении с 1960 годом выход приплода на 100 маток увеличился по крупному рогатому скоту с 87 до 96 голов, по овцам – с 77 до 89 голов.</w:t>
      </w:r>
      <w:proofErr w:type="gramEnd"/>
      <w:r>
        <w:rPr>
          <w:rFonts w:ascii="Arial" w:hAnsi="Arial" w:cs="Arial"/>
          <w:sz w:val="22"/>
        </w:rPr>
        <w:t xml:space="preserve"> Улучшилась также сохранность скота от падежа. За эти годы падёж животных в колхозах сократился по КРС с 6,3 до 3,2 процента, по свиньям – с 16,4 до 8,5 процента.</w:t>
      </w:r>
    </w:p>
    <w:p w:rsidR="003C492E" w:rsidRPr="003305FD" w:rsidRDefault="003C492E" w:rsidP="003C492E">
      <w:pPr>
        <w:ind w:firstLine="709"/>
        <w:jc w:val="both"/>
        <w:rPr>
          <w:rFonts w:ascii="Arial" w:hAnsi="Arial" w:cs="Arial"/>
          <w:sz w:val="22"/>
        </w:rPr>
      </w:pPr>
      <w:r>
        <w:rPr>
          <w:rFonts w:ascii="Arial" w:hAnsi="Arial" w:cs="Arial"/>
          <w:sz w:val="22"/>
        </w:rPr>
        <w:t>В области успешно проводилась работа по разведению племенного скота, было создано 8 племенных станций и 7 станций иску</w:t>
      </w:r>
      <w:r>
        <w:rPr>
          <w:rFonts w:ascii="Arial" w:hAnsi="Arial" w:cs="Arial"/>
          <w:sz w:val="22"/>
        </w:rPr>
        <w:t>с</w:t>
      </w:r>
      <w:r>
        <w:rPr>
          <w:rFonts w:ascii="Arial" w:hAnsi="Arial" w:cs="Arial"/>
          <w:sz w:val="22"/>
        </w:rPr>
        <w:t xml:space="preserve">ственного осеменения, большую помощь хозяйствам оказывала опытная животноводческая станция. К концу 1965 года поголовье скота выросло по сравнению с довоенным годом следующим образом: </w:t>
      </w:r>
      <w:proofErr w:type="gramStart"/>
      <w:r>
        <w:rPr>
          <w:rFonts w:ascii="Arial" w:hAnsi="Arial" w:cs="Arial"/>
          <w:sz w:val="22"/>
        </w:rPr>
        <w:t>КРС – в 4,7 раза, в т.ч. коров – в 6 раз, свиней – в 4,1 раза, овец – в 1,6 раза.</w:t>
      </w:r>
      <w:proofErr w:type="gramEnd"/>
      <w:r>
        <w:rPr>
          <w:rFonts w:ascii="Arial" w:hAnsi="Arial" w:cs="Arial"/>
          <w:sz w:val="22"/>
        </w:rPr>
        <w:t xml:space="preserve"> Производство мяса увеличилось в 3,7 раза, молока – в 2,3, шерсти – в 1,5, яиц – почти в 3,4 раза. В 1973 году </w:t>
      </w:r>
      <w:r>
        <w:rPr>
          <w:rFonts w:ascii="Arial" w:hAnsi="Arial" w:cs="Arial"/>
          <w:bCs/>
          <w:sz w:val="22"/>
        </w:rPr>
        <w:t>в области была с</w:t>
      </w:r>
      <w:r>
        <w:rPr>
          <w:rFonts w:ascii="Arial" w:hAnsi="Arial" w:cs="Arial"/>
          <w:bCs/>
          <w:sz w:val="22"/>
        </w:rPr>
        <w:t>а</w:t>
      </w:r>
      <w:r>
        <w:rPr>
          <w:rFonts w:ascii="Arial" w:hAnsi="Arial" w:cs="Arial"/>
          <w:bCs/>
          <w:sz w:val="22"/>
        </w:rPr>
        <w:t>мая высокая урожайность зерновых культур – 24,5 центнера с одного гектара.</w:t>
      </w:r>
    </w:p>
    <w:p w:rsidR="003C492E" w:rsidRDefault="003C492E" w:rsidP="003C492E">
      <w:pPr>
        <w:ind w:firstLine="709"/>
        <w:jc w:val="both"/>
        <w:rPr>
          <w:rFonts w:ascii="Arial" w:hAnsi="Arial" w:cs="Arial"/>
          <w:sz w:val="22"/>
        </w:rPr>
      </w:pPr>
      <w:proofErr w:type="gramStart"/>
      <w:r>
        <w:rPr>
          <w:rFonts w:ascii="Arial" w:hAnsi="Arial" w:cs="Arial"/>
          <w:sz w:val="22"/>
        </w:rPr>
        <w:t>В 1976 – 1980 годах по сравнению с 1961 – 1965 годами производство зерновых увеличилось в 1,6 раза, сахарной свеклы – в 3,2, подсолнечника – в 1,3, мяса (в убойном весе) – в 1,6, молока – в 1,3 и яиц – в 2,1 раза, что позволило значительно увеличить продажу государству этих продуктов.</w:t>
      </w:r>
      <w:proofErr w:type="gramEnd"/>
    </w:p>
    <w:p w:rsidR="003C492E" w:rsidRDefault="003C492E" w:rsidP="003C492E">
      <w:pPr>
        <w:pStyle w:val="22"/>
        <w:spacing w:line="240" w:lineRule="auto"/>
        <w:rPr>
          <w:rFonts w:cs="Arial"/>
          <w:sz w:val="22"/>
        </w:rPr>
      </w:pPr>
      <w:r>
        <w:rPr>
          <w:rFonts w:cs="Arial"/>
          <w:sz w:val="22"/>
        </w:rPr>
        <w:t>Общественное животноводство области стало крупной отраслью сельскохозяйственного производства.</w:t>
      </w:r>
    </w:p>
    <w:p w:rsidR="003C492E" w:rsidRDefault="003C492E" w:rsidP="003C492E">
      <w:pPr>
        <w:pStyle w:val="22"/>
        <w:spacing w:line="240" w:lineRule="auto"/>
        <w:rPr>
          <w:rFonts w:cs="Arial"/>
          <w:bCs/>
          <w:sz w:val="22"/>
        </w:rPr>
      </w:pPr>
      <w:r>
        <w:rPr>
          <w:rFonts w:cs="Arial"/>
          <w:sz w:val="22"/>
        </w:rPr>
        <w:t>Общая численность населения  Ульяновской  области за 1950 – 2010 гг. увеличилась на  169,5 тыс. человек или на 15,1%. Горо</w:t>
      </w:r>
      <w:r>
        <w:rPr>
          <w:rFonts w:cs="Arial"/>
          <w:sz w:val="22"/>
        </w:rPr>
        <w:t>д</w:t>
      </w:r>
      <w:r>
        <w:rPr>
          <w:rFonts w:cs="Arial"/>
          <w:sz w:val="22"/>
        </w:rPr>
        <w:t>ское население за этот период увеличилось в 3,1 раза, сельское уменьшилось в 2,4 раза. Существенное влияние на сложившуюся сит</w:t>
      </w:r>
      <w:r>
        <w:rPr>
          <w:rFonts w:cs="Arial"/>
          <w:sz w:val="22"/>
        </w:rPr>
        <w:t>у</w:t>
      </w:r>
      <w:r>
        <w:rPr>
          <w:rFonts w:cs="Arial"/>
          <w:sz w:val="22"/>
        </w:rPr>
        <w:t xml:space="preserve">ацию оказывала миграция сельского населения в города области, а также рост городских жителей за счет преобразования сельских населенных пунктов </w:t>
      </w:r>
      <w:proofErr w:type="gramStart"/>
      <w:r>
        <w:rPr>
          <w:rFonts w:cs="Arial"/>
          <w:sz w:val="22"/>
        </w:rPr>
        <w:t>в</w:t>
      </w:r>
      <w:proofErr w:type="gramEnd"/>
      <w:r>
        <w:rPr>
          <w:rFonts w:cs="Arial"/>
          <w:sz w:val="22"/>
        </w:rPr>
        <w:t xml:space="preserve"> городские.</w:t>
      </w:r>
    </w:p>
    <w:p w:rsidR="003C492E" w:rsidRDefault="003C492E" w:rsidP="003C492E">
      <w:pPr>
        <w:pStyle w:val="22"/>
        <w:spacing w:line="240" w:lineRule="auto"/>
        <w:rPr>
          <w:rFonts w:cs="Arial"/>
          <w:sz w:val="22"/>
        </w:rPr>
      </w:pPr>
      <w:r>
        <w:rPr>
          <w:rFonts w:cs="Arial"/>
          <w:sz w:val="22"/>
        </w:rPr>
        <w:t xml:space="preserve">В связи с переменами экономического и политического характера, происшедшими в конце 80-х годов, в стране возникли многие серьёзные социально-экономические проблемы. Экономика страны болезненно переходила к рыночным условиям хозяйствования. </w:t>
      </w:r>
    </w:p>
    <w:p w:rsidR="003C492E" w:rsidRDefault="003C492E" w:rsidP="003C492E">
      <w:pPr>
        <w:pStyle w:val="22"/>
        <w:spacing w:line="240" w:lineRule="auto"/>
        <w:rPr>
          <w:rFonts w:cs="Arial"/>
          <w:sz w:val="22"/>
        </w:rPr>
      </w:pPr>
      <w:r>
        <w:rPr>
          <w:rFonts w:cs="Arial"/>
          <w:sz w:val="22"/>
        </w:rPr>
        <w:t>Переход к рыночному устройству России оказался более сложным, чем это представлялось в начале реформ. Негативные те</w:t>
      </w:r>
      <w:r>
        <w:rPr>
          <w:rFonts w:cs="Arial"/>
          <w:sz w:val="22"/>
        </w:rPr>
        <w:t>н</w:t>
      </w:r>
      <w:r>
        <w:rPr>
          <w:rFonts w:cs="Arial"/>
          <w:sz w:val="22"/>
        </w:rPr>
        <w:t xml:space="preserve">денции в сфере уровня жизни и занятости тяжело сказались на накопленном человеческом потенциале и обусловили появление такого явления как безработица. </w:t>
      </w:r>
    </w:p>
    <w:p w:rsidR="003C492E" w:rsidRDefault="003C492E" w:rsidP="003C492E">
      <w:pPr>
        <w:pStyle w:val="21"/>
        <w:spacing w:line="240" w:lineRule="auto"/>
        <w:ind w:firstLine="709"/>
        <w:jc w:val="both"/>
        <w:rPr>
          <w:rFonts w:cs="Arial"/>
          <w:sz w:val="22"/>
        </w:rPr>
      </w:pPr>
      <w:r w:rsidRPr="00AD4227">
        <w:rPr>
          <w:rFonts w:cs="Arial"/>
          <w:sz w:val="22"/>
        </w:rPr>
        <w:lastRenderedPageBreak/>
        <w:t>Ряд предприятий построенных в 70 – 80</w:t>
      </w:r>
      <w:r w:rsidR="00555D9F">
        <w:rPr>
          <w:rFonts w:cs="Arial"/>
          <w:sz w:val="22"/>
        </w:rPr>
        <w:t>-</w:t>
      </w:r>
      <w:r w:rsidRPr="00AD4227">
        <w:rPr>
          <w:rFonts w:cs="Arial"/>
          <w:sz w:val="22"/>
        </w:rPr>
        <w:t>е годы, такие как авиапромышленный комплекс (ныне ЗАО "Авиастар-СП"), ОАО "Искра", выпускающие уникальную продукцию: самые грузоподъёмные в мире самолёты "Руслан", сложную радио- и электронную аппаратуру, работали не в полную мощность. Не в лучшем положении оказались и другие предприятия, продукция которых широко известна и в стране, и за рубежом. Отсутствие оборотных и денежных сре</w:t>
      </w:r>
      <w:proofErr w:type="gramStart"/>
      <w:r w:rsidRPr="00AD4227">
        <w:rPr>
          <w:rFonts w:cs="Arial"/>
          <w:sz w:val="22"/>
        </w:rPr>
        <w:t>дств пр</w:t>
      </w:r>
      <w:proofErr w:type="gramEnd"/>
      <w:r w:rsidRPr="00AD4227">
        <w:rPr>
          <w:rFonts w:cs="Arial"/>
          <w:sz w:val="22"/>
        </w:rPr>
        <w:t>ивело многие предприятия к финансовому кризису: резко возросла доля убыточных предприятий. С 1986 по 1995 годы темпы производства начали снижаться и составили 1,0% в год. Тем не менее, за ряд лет многие из них преодолели экономические трудности, не остановили своей работы и в настоящее время продолжают трудиться, ра</w:t>
      </w:r>
      <w:r w:rsidRPr="00AD4227">
        <w:rPr>
          <w:rFonts w:cs="Arial"/>
          <w:sz w:val="22"/>
        </w:rPr>
        <w:t>с</w:t>
      </w:r>
      <w:r w:rsidRPr="00AD4227">
        <w:rPr>
          <w:rFonts w:cs="Arial"/>
          <w:sz w:val="22"/>
        </w:rPr>
        <w:t>ширяя производство и ассортимент выпускаемой продукции. Положительная динамика стала наблюдаться с 2005 года по 2010 год</w:t>
      </w:r>
      <w:r w:rsidR="00930CD4">
        <w:rPr>
          <w:rFonts w:cs="Arial"/>
          <w:sz w:val="22"/>
        </w:rPr>
        <w:t xml:space="preserve">, </w:t>
      </w:r>
      <w:r w:rsidRPr="00AD4227">
        <w:rPr>
          <w:rFonts w:cs="Arial"/>
          <w:sz w:val="22"/>
        </w:rPr>
        <w:t>когда прирост производства в среднем в год составлял 2,6%, кроме 2009 года,  когда снижение к предыдущему году составило 24,8%. Главным фактором спада производства явился мировой финансовый кризис, который охватил экономику области в 2009 году.</w:t>
      </w:r>
    </w:p>
    <w:p w:rsidR="00FD6826" w:rsidRPr="00332CFF" w:rsidRDefault="003C492E" w:rsidP="00FD6826">
      <w:pPr>
        <w:pStyle w:val="a3"/>
        <w:spacing w:line="240" w:lineRule="auto"/>
        <w:jc w:val="both"/>
        <w:rPr>
          <w:rFonts w:ascii="Arial" w:hAnsi="Arial" w:cs="Arial"/>
          <w:b w:val="0"/>
        </w:rPr>
      </w:pPr>
      <w:r>
        <w:rPr>
          <w:rFonts w:ascii="Arial" w:hAnsi="Arial" w:cs="Arial"/>
          <w:b w:val="0"/>
        </w:rPr>
        <w:t>В области всегда уделялось особое внимание строительству жилых домов и объектов социально-культурного назначения. В послевое</w:t>
      </w:r>
      <w:r>
        <w:rPr>
          <w:rFonts w:ascii="Arial" w:hAnsi="Arial" w:cs="Arial"/>
          <w:b w:val="0"/>
        </w:rPr>
        <w:t>н</w:t>
      </w:r>
      <w:r>
        <w:rPr>
          <w:rFonts w:ascii="Arial" w:hAnsi="Arial" w:cs="Arial"/>
          <w:b w:val="0"/>
        </w:rPr>
        <w:t>ные годы область активно включилась в жилищное строительство. За период с 1946 г. по 1950 г. введено 632,6 тыс. кв. метров общей площади жилых домов. Наиболее высокие темпы строительства жилья наблюдались с 1986 г. по 1990 г. В это время в среднем за год сдавалось по 861 тыс. кв. метров. В 1988 г. ввод в действие жилых домов был максимальный и составлял 951,4 тыс. кв. метров. Спад строительства жилья, начатый в 1989 г., достиг к 2004 г. значения - 157,2 тыс.кв</w:t>
      </w:r>
      <w:proofErr w:type="gramStart"/>
      <w:r>
        <w:rPr>
          <w:rFonts w:ascii="Arial" w:hAnsi="Arial" w:cs="Arial"/>
          <w:b w:val="0"/>
        </w:rPr>
        <w:t>.м</w:t>
      </w:r>
      <w:proofErr w:type="gramEnd"/>
      <w:r>
        <w:rPr>
          <w:rFonts w:ascii="Arial" w:hAnsi="Arial" w:cs="Arial"/>
          <w:b w:val="0"/>
        </w:rPr>
        <w:t>етров. С 2005 года строительство жилья оживилось, в среднем за год</w:t>
      </w:r>
      <w:r w:rsidR="00406629">
        <w:rPr>
          <w:rFonts w:ascii="Arial" w:hAnsi="Arial" w:cs="Arial"/>
          <w:b w:val="0"/>
        </w:rPr>
        <w:t xml:space="preserve"> з</w:t>
      </w:r>
      <w:r w:rsidR="00FD6826" w:rsidRPr="00332CFF">
        <w:rPr>
          <w:rFonts w:ascii="Arial" w:hAnsi="Arial" w:cs="Arial"/>
          <w:b w:val="0"/>
        </w:rPr>
        <w:t>а 2006</w:t>
      </w:r>
      <w:r w:rsidR="00FD6826">
        <w:rPr>
          <w:rFonts w:ascii="Arial" w:hAnsi="Arial" w:cs="Arial"/>
          <w:b w:val="0"/>
        </w:rPr>
        <w:t>–</w:t>
      </w:r>
      <w:r w:rsidR="00FD6826" w:rsidRPr="00332CFF">
        <w:rPr>
          <w:rFonts w:ascii="Arial" w:hAnsi="Arial" w:cs="Arial"/>
          <w:b w:val="0"/>
        </w:rPr>
        <w:t>2010 гг. введено 2275,3 тыс.кв</w:t>
      </w:r>
      <w:proofErr w:type="gramStart"/>
      <w:r w:rsidR="00FD6826" w:rsidRPr="00332CFF">
        <w:rPr>
          <w:rFonts w:ascii="Arial" w:hAnsi="Arial" w:cs="Arial"/>
          <w:b w:val="0"/>
        </w:rPr>
        <w:t>.м</w:t>
      </w:r>
      <w:proofErr w:type="gramEnd"/>
      <w:r w:rsidR="00FD6826" w:rsidRPr="00332CFF">
        <w:rPr>
          <w:rFonts w:ascii="Arial" w:hAnsi="Arial" w:cs="Arial"/>
          <w:b w:val="0"/>
        </w:rPr>
        <w:t>етров, в среднем за год – 455,1</w:t>
      </w:r>
      <w:r w:rsidR="00FD6826">
        <w:rPr>
          <w:rFonts w:ascii="Arial" w:hAnsi="Arial" w:cs="Arial"/>
          <w:b w:val="0"/>
        </w:rPr>
        <w:t>, в 2011 г. – 553,8 тыс.кв.метров</w:t>
      </w:r>
      <w:r w:rsidR="00FD6826" w:rsidRPr="00332CFF">
        <w:rPr>
          <w:rFonts w:ascii="Arial" w:hAnsi="Arial" w:cs="Arial"/>
          <w:b w:val="0"/>
        </w:rPr>
        <w:t>. Ввод в де</w:t>
      </w:r>
      <w:r w:rsidR="00FD6826" w:rsidRPr="00332CFF">
        <w:rPr>
          <w:rFonts w:ascii="Arial" w:hAnsi="Arial" w:cs="Arial"/>
          <w:b w:val="0"/>
        </w:rPr>
        <w:t>й</w:t>
      </w:r>
      <w:r w:rsidR="00FD6826" w:rsidRPr="00332CFF">
        <w:rPr>
          <w:rFonts w:ascii="Arial" w:hAnsi="Arial" w:cs="Arial"/>
          <w:b w:val="0"/>
        </w:rPr>
        <w:t>ствие жилых домов за счет бюджетного финансирования сокращается</w:t>
      </w:r>
      <w:r w:rsidR="00FD6826">
        <w:rPr>
          <w:rFonts w:ascii="Arial" w:hAnsi="Arial" w:cs="Arial"/>
          <w:b w:val="0"/>
        </w:rPr>
        <w:t xml:space="preserve">: в 1996–2000 гг. </w:t>
      </w:r>
      <w:r w:rsidR="00FD6826" w:rsidRPr="00332CFF">
        <w:rPr>
          <w:rFonts w:ascii="Arial" w:hAnsi="Arial" w:cs="Arial"/>
          <w:b w:val="0"/>
        </w:rPr>
        <w:t>сдано 60,5 тыс.кв</w:t>
      </w:r>
      <w:proofErr w:type="gramStart"/>
      <w:r w:rsidR="00FD6826" w:rsidRPr="00332CFF">
        <w:rPr>
          <w:rFonts w:ascii="Arial" w:hAnsi="Arial" w:cs="Arial"/>
          <w:b w:val="0"/>
        </w:rPr>
        <w:t>.м</w:t>
      </w:r>
      <w:proofErr w:type="gramEnd"/>
      <w:r w:rsidR="00FD6826" w:rsidRPr="00332CFF">
        <w:rPr>
          <w:rFonts w:ascii="Arial" w:hAnsi="Arial" w:cs="Arial"/>
          <w:b w:val="0"/>
        </w:rPr>
        <w:t xml:space="preserve">етров, в 2001-2005 гг. </w:t>
      </w:r>
      <w:r w:rsidR="00FD6826">
        <w:rPr>
          <w:rFonts w:ascii="Arial" w:hAnsi="Arial" w:cs="Arial"/>
          <w:b w:val="0"/>
        </w:rPr>
        <w:t>– 50,1</w:t>
      </w:r>
      <w:r w:rsidR="00FD6826" w:rsidRPr="00332CFF">
        <w:rPr>
          <w:rFonts w:ascii="Arial" w:hAnsi="Arial" w:cs="Arial"/>
          <w:b w:val="0"/>
        </w:rPr>
        <w:t xml:space="preserve">, </w:t>
      </w:r>
      <w:r w:rsidR="00FD6826">
        <w:rPr>
          <w:rFonts w:ascii="Arial" w:hAnsi="Arial" w:cs="Arial"/>
          <w:b w:val="0"/>
        </w:rPr>
        <w:t xml:space="preserve"> в 2006-2010 гг. – 31,9, в 2011 г. – 0,5 тыс. кв. метров</w:t>
      </w:r>
      <w:r w:rsidR="00FD6826" w:rsidRPr="00332CFF">
        <w:rPr>
          <w:rFonts w:ascii="Arial" w:hAnsi="Arial" w:cs="Arial"/>
          <w:b w:val="0"/>
        </w:rPr>
        <w:t>.</w:t>
      </w:r>
    </w:p>
    <w:p w:rsidR="00FD6826" w:rsidRPr="00FD6826" w:rsidRDefault="003C492E" w:rsidP="00FD6826">
      <w:pPr>
        <w:pStyle w:val="a3"/>
        <w:spacing w:line="240" w:lineRule="auto"/>
        <w:ind w:firstLine="709"/>
        <w:jc w:val="both"/>
        <w:rPr>
          <w:rFonts w:ascii="Arial" w:hAnsi="Arial" w:cs="Arial"/>
          <w:b w:val="0"/>
        </w:rPr>
      </w:pPr>
      <w:r w:rsidRPr="00FD6826">
        <w:rPr>
          <w:rFonts w:ascii="Arial" w:hAnsi="Arial" w:cs="Arial"/>
          <w:b w:val="0"/>
        </w:rPr>
        <w:t>Населением активно строилось индивидуальное жилье в 1961 – 1965 гг. (804,3 тыс. кв. метров). Удельный вес такого жилья с</w:t>
      </w:r>
      <w:r w:rsidRPr="00FD6826">
        <w:rPr>
          <w:rFonts w:ascii="Arial" w:hAnsi="Arial" w:cs="Arial"/>
          <w:b w:val="0"/>
        </w:rPr>
        <w:t>о</w:t>
      </w:r>
      <w:r w:rsidRPr="00FD6826">
        <w:rPr>
          <w:rFonts w:ascii="Arial" w:hAnsi="Arial" w:cs="Arial"/>
          <w:b w:val="0"/>
        </w:rPr>
        <w:t xml:space="preserve">ставлял 38,0% в общем вводе, при среднегодовой сдаче в эксплуатацию по 423 тыс. кв. метров общей площади жилых домов. </w:t>
      </w:r>
      <w:r w:rsidR="00FD6826" w:rsidRPr="00FD6826">
        <w:rPr>
          <w:rFonts w:ascii="Arial" w:hAnsi="Arial" w:cs="Arial"/>
          <w:b w:val="0"/>
        </w:rPr>
        <w:t xml:space="preserve">Начиная с 1990 г. наблюдается рост индивидуального жилищного строительства и в 2011 г. было построено 2013 жилых домов  общей площадью 339,1 тыс. кв. метров. </w:t>
      </w:r>
      <w:proofErr w:type="gramStart"/>
      <w:r w:rsidR="00FD6826" w:rsidRPr="00FD6826">
        <w:rPr>
          <w:rFonts w:ascii="Arial" w:hAnsi="Arial" w:cs="Arial"/>
          <w:b w:val="0"/>
        </w:rPr>
        <w:t>В период с 2006 по 2010 гг. сдано 1298,4 тыс. кв. метров жилья, что в 1,6 раза больше, чем в 1961–1965 гг. Удел</w:t>
      </w:r>
      <w:r w:rsidR="00FD6826" w:rsidRPr="00FD6826">
        <w:rPr>
          <w:rFonts w:ascii="Arial" w:hAnsi="Arial" w:cs="Arial"/>
          <w:b w:val="0"/>
        </w:rPr>
        <w:t>ь</w:t>
      </w:r>
      <w:r w:rsidR="00FD6826" w:rsidRPr="00FD6826">
        <w:rPr>
          <w:rFonts w:ascii="Arial" w:hAnsi="Arial" w:cs="Arial"/>
          <w:b w:val="0"/>
        </w:rPr>
        <w:t>ный вес  жилых домов, построенных населением в 2011 г., составил 61,2% в общем вводе жилья по области, в 2010 г.– 61,9%, в 2005 г. –  40,2%. Ввод индивидуальных жилых домов в 2011 г. превысил уровень 2005 г. в 2,9</w:t>
      </w:r>
      <w:proofErr w:type="gramEnd"/>
      <w:r w:rsidR="00FD6826" w:rsidRPr="00FD6826">
        <w:rPr>
          <w:rFonts w:ascii="Arial" w:hAnsi="Arial" w:cs="Arial"/>
          <w:b w:val="0"/>
        </w:rPr>
        <w:t xml:space="preserve"> раза, в 3,9 раза – уровень 2000 г. и в 15,6 раза – ур</w:t>
      </w:r>
      <w:r w:rsidR="00FD6826" w:rsidRPr="00FD6826">
        <w:rPr>
          <w:rFonts w:ascii="Arial" w:hAnsi="Arial" w:cs="Arial"/>
          <w:b w:val="0"/>
        </w:rPr>
        <w:t>о</w:t>
      </w:r>
      <w:r w:rsidR="00FD6826" w:rsidRPr="00FD6826">
        <w:rPr>
          <w:rFonts w:ascii="Arial" w:hAnsi="Arial" w:cs="Arial"/>
          <w:b w:val="0"/>
        </w:rPr>
        <w:t>вень 1990 г.</w:t>
      </w:r>
    </w:p>
    <w:p w:rsidR="003C492E" w:rsidRPr="00FD6826" w:rsidRDefault="003C492E" w:rsidP="00FD6826">
      <w:pPr>
        <w:pStyle w:val="a3"/>
        <w:spacing w:line="240" w:lineRule="auto"/>
        <w:ind w:firstLine="709"/>
        <w:jc w:val="both"/>
        <w:rPr>
          <w:rFonts w:ascii="Arial" w:hAnsi="Arial" w:cs="Arial"/>
          <w:b w:val="0"/>
        </w:rPr>
      </w:pPr>
      <w:r w:rsidRPr="00FD6826">
        <w:rPr>
          <w:rFonts w:ascii="Arial" w:hAnsi="Arial" w:cs="Arial"/>
          <w:b w:val="0"/>
        </w:rPr>
        <w:t>Всего за период с 1991 г. по 201</w:t>
      </w:r>
      <w:r w:rsidR="00407D4D">
        <w:rPr>
          <w:rFonts w:ascii="Arial" w:hAnsi="Arial" w:cs="Arial"/>
          <w:b w:val="0"/>
        </w:rPr>
        <w:t>1</w:t>
      </w:r>
      <w:r w:rsidRPr="00FD6826">
        <w:rPr>
          <w:rFonts w:ascii="Arial" w:hAnsi="Arial" w:cs="Arial"/>
          <w:b w:val="0"/>
        </w:rPr>
        <w:t xml:space="preserve"> г. сданы в эксплуатацию жилые дома общей площадью </w:t>
      </w:r>
      <w:r w:rsidR="00407D4D">
        <w:rPr>
          <w:rFonts w:ascii="Arial" w:hAnsi="Arial" w:cs="Arial"/>
          <w:b w:val="0"/>
        </w:rPr>
        <w:t>7484,4</w:t>
      </w:r>
      <w:r w:rsidRPr="00FD6826">
        <w:rPr>
          <w:rFonts w:ascii="Arial" w:hAnsi="Arial" w:cs="Arial"/>
          <w:b w:val="0"/>
        </w:rPr>
        <w:t xml:space="preserve"> тыс. кв. метров, из которых </w:t>
      </w:r>
      <w:r w:rsidR="00407D4D">
        <w:rPr>
          <w:rFonts w:ascii="Arial" w:hAnsi="Arial" w:cs="Arial"/>
          <w:b w:val="0"/>
        </w:rPr>
        <w:t>2754,3</w:t>
      </w:r>
      <w:r w:rsidRPr="00FD6826">
        <w:rPr>
          <w:rFonts w:ascii="Arial" w:hAnsi="Arial" w:cs="Arial"/>
          <w:b w:val="0"/>
        </w:rPr>
        <w:t xml:space="preserve"> тыс. кв. метров – населением. Построено 11</w:t>
      </w:r>
      <w:r w:rsidR="00407D4D">
        <w:rPr>
          <w:rFonts w:ascii="Arial" w:hAnsi="Arial" w:cs="Arial"/>
          <w:b w:val="0"/>
        </w:rPr>
        <w:t>1</w:t>
      </w:r>
      <w:r w:rsidRPr="00FD6826">
        <w:rPr>
          <w:rFonts w:ascii="Arial" w:hAnsi="Arial" w:cs="Arial"/>
          <w:b w:val="0"/>
        </w:rPr>
        <w:t xml:space="preserve"> общеобразовательных школ на 33,</w:t>
      </w:r>
      <w:r w:rsidR="00407D4D">
        <w:rPr>
          <w:rFonts w:ascii="Arial" w:hAnsi="Arial" w:cs="Arial"/>
          <w:b w:val="0"/>
        </w:rPr>
        <w:t>4</w:t>
      </w:r>
      <w:r w:rsidRPr="00FD6826">
        <w:rPr>
          <w:rFonts w:ascii="Arial" w:hAnsi="Arial" w:cs="Arial"/>
          <w:b w:val="0"/>
        </w:rPr>
        <w:t xml:space="preserve"> тыс. ученических мест, детских дошкольных учрежд</w:t>
      </w:r>
      <w:r w:rsidRPr="00FD6826">
        <w:rPr>
          <w:rFonts w:ascii="Arial" w:hAnsi="Arial" w:cs="Arial"/>
          <w:b w:val="0"/>
        </w:rPr>
        <w:t>е</w:t>
      </w:r>
      <w:r w:rsidRPr="00FD6826">
        <w:rPr>
          <w:rFonts w:ascii="Arial" w:hAnsi="Arial" w:cs="Arial"/>
          <w:b w:val="0"/>
        </w:rPr>
        <w:t>ний на 5,</w:t>
      </w:r>
      <w:r w:rsidR="00407D4D">
        <w:rPr>
          <w:rFonts w:ascii="Arial" w:hAnsi="Arial" w:cs="Arial"/>
          <w:b w:val="0"/>
        </w:rPr>
        <w:t>6</w:t>
      </w:r>
      <w:r w:rsidRPr="00FD6826">
        <w:rPr>
          <w:rFonts w:ascii="Arial" w:hAnsi="Arial" w:cs="Arial"/>
          <w:b w:val="0"/>
        </w:rPr>
        <w:t xml:space="preserve"> тыс. мест, больниц на 1,9 тыс. коек и амбулаторно-поликлинических учреждений – на 5,7 тыс. посещений в смену. Введены в действие 24 клуба на 5,9 тыс. мест, кинотеатр на 1000 мест, завершилась реконструкция здания театр кукол. </w:t>
      </w:r>
    </w:p>
    <w:p w:rsidR="003C492E" w:rsidRDefault="003C492E" w:rsidP="003C492E">
      <w:pPr>
        <w:pStyle w:val="aa"/>
        <w:spacing w:line="240" w:lineRule="auto"/>
        <w:ind w:right="-142"/>
        <w:rPr>
          <w:rFonts w:cs="Arial"/>
          <w:sz w:val="22"/>
        </w:rPr>
      </w:pPr>
      <w:r>
        <w:rPr>
          <w:rFonts w:cs="Arial"/>
          <w:sz w:val="22"/>
        </w:rPr>
        <w:t>Важнейшей частью проводимых в России реформ явилась либерализация цен. С января 1992 года большая часть продукции и</w:t>
      </w:r>
      <w:r>
        <w:rPr>
          <w:rFonts w:cs="Arial"/>
          <w:bCs/>
          <w:sz w:val="22"/>
        </w:rPr>
        <w:t xml:space="preserve"> ус</w:t>
      </w:r>
      <w:r>
        <w:rPr>
          <w:rFonts w:cs="Arial"/>
          <w:sz w:val="22"/>
        </w:rPr>
        <w:t>луг начала реализовываться по свободным ценам. В январе 1992 года индекс потребительских цен на товары и платные услуги в обл</w:t>
      </w:r>
      <w:r>
        <w:rPr>
          <w:rFonts w:cs="Arial"/>
          <w:sz w:val="22"/>
        </w:rPr>
        <w:t>а</w:t>
      </w:r>
      <w:r>
        <w:rPr>
          <w:rFonts w:cs="Arial"/>
          <w:sz w:val="22"/>
        </w:rPr>
        <w:t>сти был самым высоким за весь период реформы – 406,9%. Цены на потребительском рынке к концу 1992 года выросли в 22 раза, а цены производителей на промышленную продукцию – почти в 46 раз. В 1993 году темпы роста, как потребительских цен, так и цен производ</w:t>
      </w:r>
      <w:r>
        <w:rPr>
          <w:rFonts w:cs="Arial"/>
          <w:sz w:val="22"/>
        </w:rPr>
        <w:t>и</w:t>
      </w:r>
      <w:r>
        <w:rPr>
          <w:rFonts w:cs="Arial"/>
          <w:sz w:val="22"/>
        </w:rPr>
        <w:t>телей, оставались высокими (почти в 9 раз). Последующие годы (1994 – 1997 гг.) характеризовались переходом от высокой инфляции к сравнительно умеренным темпам роста цен. В эти годы произошло сближение темпов роста цен на потребительском рынке и цен прои</w:t>
      </w:r>
      <w:r>
        <w:rPr>
          <w:rFonts w:cs="Arial"/>
          <w:sz w:val="22"/>
        </w:rPr>
        <w:t>з</w:t>
      </w:r>
      <w:r>
        <w:rPr>
          <w:rFonts w:cs="Arial"/>
          <w:sz w:val="22"/>
        </w:rPr>
        <w:t xml:space="preserve">водителей в промышленности (с 1994 по 1997 г. цены увеличились в 10,1 и 9,6 раза соответственно). </w:t>
      </w:r>
    </w:p>
    <w:p w:rsidR="00535A4A" w:rsidRPr="007944A3" w:rsidRDefault="003C492E" w:rsidP="00535A4A">
      <w:pPr>
        <w:pStyle w:val="33"/>
        <w:rPr>
          <w:rFonts w:ascii="Arial" w:hAnsi="Arial" w:cs="Arial"/>
          <w:sz w:val="22"/>
          <w:szCs w:val="22"/>
        </w:rPr>
      </w:pPr>
      <w:proofErr w:type="gramStart"/>
      <w:r w:rsidRPr="00535A4A">
        <w:rPr>
          <w:rFonts w:ascii="Arial" w:hAnsi="Arial"/>
          <w:sz w:val="22"/>
          <w:szCs w:val="22"/>
        </w:rPr>
        <w:t xml:space="preserve">В 2000 году инфляция стала снижаться - индекс потребительских цен составил 123,5%. </w:t>
      </w:r>
      <w:r w:rsidR="00535A4A" w:rsidRPr="00535A4A">
        <w:rPr>
          <w:rFonts w:ascii="Arial" w:hAnsi="Arial"/>
          <w:sz w:val="22"/>
          <w:szCs w:val="22"/>
        </w:rPr>
        <w:t>В декабре 2011 года к декабрю 2000 года потреби</w:t>
      </w:r>
      <w:r w:rsidR="00535A4A" w:rsidRPr="007944A3">
        <w:rPr>
          <w:rFonts w:ascii="Arial" w:hAnsi="Arial" w:cs="Arial"/>
          <w:sz w:val="22"/>
        </w:rPr>
        <w:t>тельские цены на товары и услуги выросли в 3,9 раза, в том числе на продовольственные товары – в 3,6 раза, непродовол</w:t>
      </w:r>
      <w:r w:rsidR="00535A4A" w:rsidRPr="007944A3">
        <w:rPr>
          <w:rFonts w:ascii="Arial" w:hAnsi="Arial" w:cs="Arial"/>
          <w:sz w:val="22"/>
        </w:rPr>
        <w:t>ь</w:t>
      </w:r>
      <w:r w:rsidR="00535A4A" w:rsidRPr="007944A3">
        <w:rPr>
          <w:rFonts w:ascii="Arial" w:hAnsi="Arial" w:cs="Arial"/>
          <w:sz w:val="22"/>
        </w:rPr>
        <w:t>ственные товары – в 2,8 раза, а рост тарифов на платные услуги был более значительным – в 9,0 раза</w:t>
      </w:r>
      <w:r w:rsidR="00535A4A" w:rsidRPr="007944A3">
        <w:rPr>
          <w:rFonts w:cs="Arial"/>
          <w:sz w:val="22"/>
        </w:rPr>
        <w:t>.</w:t>
      </w:r>
      <w:proofErr w:type="gramEnd"/>
      <w:r w:rsidR="00406629">
        <w:rPr>
          <w:rFonts w:cs="Arial"/>
          <w:sz w:val="22"/>
        </w:rPr>
        <w:t xml:space="preserve"> </w:t>
      </w:r>
      <w:proofErr w:type="gramStart"/>
      <w:r w:rsidR="00535A4A" w:rsidRPr="007944A3">
        <w:rPr>
          <w:rFonts w:ascii="Arial" w:hAnsi="Arial" w:cs="Arial"/>
          <w:sz w:val="22"/>
          <w:szCs w:val="22"/>
        </w:rPr>
        <w:t>Н</w:t>
      </w:r>
      <w:proofErr w:type="gramEnd"/>
      <w:r w:rsidR="00535A4A" w:rsidRPr="007944A3">
        <w:rPr>
          <w:rFonts w:ascii="Arial" w:hAnsi="Arial" w:cs="Arial"/>
          <w:sz w:val="22"/>
          <w:szCs w:val="22"/>
        </w:rPr>
        <w:t xml:space="preserve">а рынке жилья недвижимости за </w:t>
      </w:r>
      <w:r w:rsidR="00535A4A" w:rsidRPr="007944A3">
        <w:rPr>
          <w:rFonts w:ascii="Arial" w:hAnsi="Arial" w:cs="Arial"/>
          <w:sz w:val="22"/>
          <w:szCs w:val="22"/>
        </w:rPr>
        <w:lastRenderedPageBreak/>
        <w:t>этот же период стоимость одного квадратного метра жилья на первичном рынке выросла в среднем в 6,1 раза и на вторичном – в 8,0 р</w:t>
      </w:r>
      <w:r w:rsidR="00535A4A" w:rsidRPr="007944A3">
        <w:rPr>
          <w:rFonts w:ascii="Arial" w:hAnsi="Arial" w:cs="Arial"/>
          <w:sz w:val="22"/>
          <w:szCs w:val="22"/>
        </w:rPr>
        <w:t>а</w:t>
      </w:r>
      <w:r w:rsidR="00535A4A" w:rsidRPr="007944A3">
        <w:rPr>
          <w:rFonts w:ascii="Arial" w:hAnsi="Arial" w:cs="Arial"/>
          <w:sz w:val="22"/>
          <w:szCs w:val="22"/>
        </w:rPr>
        <w:t xml:space="preserve">за. </w:t>
      </w:r>
    </w:p>
    <w:p w:rsidR="003C492E" w:rsidRPr="00AD4227" w:rsidRDefault="003C492E" w:rsidP="003C492E">
      <w:pPr>
        <w:pStyle w:val="22"/>
        <w:spacing w:line="240" w:lineRule="auto"/>
        <w:ind w:firstLine="700"/>
        <w:rPr>
          <w:rFonts w:cs="Arial"/>
          <w:sz w:val="22"/>
          <w:szCs w:val="22"/>
        </w:rPr>
      </w:pPr>
      <w:r w:rsidRPr="00AD4227">
        <w:rPr>
          <w:sz w:val="22"/>
          <w:szCs w:val="22"/>
        </w:rPr>
        <w:t xml:space="preserve"> Начиная с 1990 года, происходят изменения в организационно-правовой структуре предприятий, они становятся обществами ра</w:t>
      </w:r>
      <w:r w:rsidRPr="00AD4227">
        <w:rPr>
          <w:sz w:val="22"/>
          <w:szCs w:val="22"/>
        </w:rPr>
        <w:t>з</w:t>
      </w:r>
      <w:r w:rsidRPr="00AD4227">
        <w:rPr>
          <w:sz w:val="22"/>
          <w:szCs w:val="22"/>
        </w:rPr>
        <w:t>личных типов собственности. Помимо государственной собственности, появляются новые виды собственности: муниципальная, частная, собственность общественных и религиозных организаций, смешанная российская собственность, собственность потребительской кооп</w:t>
      </w:r>
      <w:r w:rsidRPr="00AD4227">
        <w:rPr>
          <w:sz w:val="22"/>
          <w:szCs w:val="22"/>
        </w:rPr>
        <w:t>е</w:t>
      </w:r>
      <w:r w:rsidRPr="00AD4227">
        <w:rPr>
          <w:sz w:val="22"/>
          <w:szCs w:val="22"/>
        </w:rPr>
        <w:t>рации, иностранная собственность, совместная российская и иностранная собственность. В 2010 году появилась собственность госуда</w:t>
      </w:r>
      <w:r w:rsidRPr="00AD4227">
        <w:rPr>
          <w:sz w:val="22"/>
          <w:szCs w:val="22"/>
        </w:rPr>
        <w:t>р</w:t>
      </w:r>
      <w:r w:rsidRPr="00AD4227">
        <w:rPr>
          <w:sz w:val="22"/>
          <w:szCs w:val="22"/>
        </w:rPr>
        <w:t xml:space="preserve">ственных корпораций. </w:t>
      </w:r>
    </w:p>
    <w:p w:rsidR="003C492E" w:rsidRDefault="003C492E" w:rsidP="003C492E">
      <w:pPr>
        <w:ind w:firstLine="720"/>
        <w:jc w:val="both"/>
        <w:rPr>
          <w:rFonts w:ascii="Arial" w:hAnsi="Arial" w:cs="Arial"/>
          <w:bCs/>
          <w:sz w:val="22"/>
        </w:rPr>
      </w:pPr>
      <w:r w:rsidRPr="00F863CB">
        <w:rPr>
          <w:rFonts w:ascii="Arial" w:hAnsi="Arial" w:cs="Arial"/>
          <w:sz w:val="22"/>
        </w:rPr>
        <w:t>С началом экономических реформ  в экономике сельского хозяйства  формировался новый уклад: колхозы и совхозы преобраз</w:t>
      </w:r>
      <w:r w:rsidRPr="00F863CB">
        <w:rPr>
          <w:rFonts w:ascii="Arial" w:hAnsi="Arial" w:cs="Arial"/>
          <w:sz w:val="22"/>
        </w:rPr>
        <w:t>о</w:t>
      </w:r>
      <w:r w:rsidRPr="00F863CB">
        <w:rPr>
          <w:rFonts w:ascii="Arial" w:hAnsi="Arial" w:cs="Arial"/>
          <w:sz w:val="22"/>
        </w:rPr>
        <w:t>вались  в товарищества, акционерные общества, сельскохозяйственные кооперативы, создавались крестьянские (фермерские) хозя</w:t>
      </w:r>
      <w:r w:rsidRPr="00F863CB">
        <w:rPr>
          <w:rFonts w:ascii="Arial" w:hAnsi="Arial" w:cs="Arial"/>
          <w:sz w:val="22"/>
        </w:rPr>
        <w:t>й</w:t>
      </w:r>
      <w:r w:rsidRPr="00F863CB">
        <w:rPr>
          <w:rFonts w:ascii="Arial" w:hAnsi="Arial" w:cs="Arial"/>
          <w:sz w:val="22"/>
        </w:rPr>
        <w:t xml:space="preserve">ства. </w:t>
      </w:r>
      <w:r w:rsidRPr="00F863CB">
        <w:rPr>
          <w:rFonts w:ascii="Arial" w:hAnsi="Arial" w:cs="Arial"/>
          <w:bCs/>
          <w:sz w:val="22"/>
        </w:rPr>
        <w:t>В</w:t>
      </w:r>
      <w:r>
        <w:rPr>
          <w:rFonts w:ascii="Arial" w:hAnsi="Arial" w:cs="Arial"/>
          <w:bCs/>
          <w:sz w:val="22"/>
        </w:rPr>
        <w:t xml:space="preserve"> связи с перераспределением земель, интенсивным выделением земельных участков населению, развитием крестьянских (фе</w:t>
      </w:r>
      <w:r>
        <w:rPr>
          <w:rFonts w:ascii="Arial" w:hAnsi="Arial" w:cs="Arial"/>
          <w:bCs/>
          <w:sz w:val="22"/>
        </w:rPr>
        <w:t>р</w:t>
      </w:r>
      <w:r>
        <w:rPr>
          <w:rFonts w:ascii="Arial" w:hAnsi="Arial" w:cs="Arial"/>
          <w:bCs/>
          <w:sz w:val="22"/>
        </w:rPr>
        <w:t>мерских) хозяйств активизировалось развитие частного сектора в сельском хозяйстве, произошли значительные институциональные преобразования.</w:t>
      </w:r>
    </w:p>
    <w:p w:rsidR="003C492E" w:rsidRPr="00F863CB" w:rsidRDefault="003C492E" w:rsidP="003C492E">
      <w:pPr>
        <w:pStyle w:val="22"/>
        <w:spacing w:line="240" w:lineRule="auto"/>
        <w:rPr>
          <w:rFonts w:cs="Arial"/>
          <w:sz w:val="22"/>
          <w:szCs w:val="22"/>
        </w:rPr>
      </w:pPr>
      <w:r w:rsidRPr="00F863CB">
        <w:rPr>
          <w:sz w:val="22"/>
          <w:szCs w:val="22"/>
        </w:rPr>
        <w:t>По итогам Всероссийской сельскохозяйственной переписи 2006 года в области зарегистрировано 815 сельскохозяйственных орг</w:t>
      </w:r>
      <w:r w:rsidRPr="00F863CB">
        <w:rPr>
          <w:sz w:val="22"/>
          <w:szCs w:val="22"/>
        </w:rPr>
        <w:t>а</w:t>
      </w:r>
      <w:r w:rsidRPr="00F863CB">
        <w:rPr>
          <w:sz w:val="22"/>
          <w:szCs w:val="22"/>
        </w:rPr>
        <w:t>низаций, из которых 456 осуществляли сельскохозяйственную деятельность (56% от общего количества).  Из 2100 крестьянских (фе</w:t>
      </w:r>
      <w:r w:rsidRPr="00F863CB">
        <w:rPr>
          <w:sz w:val="22"/>
          <w:szCs w:val="22"/>
        </w:rPr>
        <w:t>р</w:t>
      </w:r>
      <w:r w:rsidRPr="00F863CB">
        <w:rPr>
          <w:sz w:val="22"/>
          <w:szCs w:val="22"/>
        </w:rPr>
        <w:t>мерских) хозяйств и индивидуальных предпринимателей занимались сельскохозяйственной деятельностью 647.В 2006 году на долю личных подсобных хозяйств (ЛПХ) приходилось лишь 4,1% посевных площадей. В 2010 году хозяйствами населения было произведено 85% картофеля, 72% всех овощей (включая закрытый грунт), 93% плодов и ягод, 67% мяса, 65% молока и 33% яиц. Удельный вес пр</w:t>
      </w:r>
      <w:r w:rsidRPr="00F863CB">
        <w:rPr>
          <w:sz w:val="22"/>
          <w:szCs w:val="22"/>
        </w:rPr>
        <w:t>о</w:t>
      </w:r>
      <w:r w:rsidRPr="00F863CB">
        <w:rPr>
          <w:sz w:val="22"/>
          <w:szCs w:val="22"/>
        </w:rPr>
        <w:t>дукции сельского хозяйства в хозяйствах населения составил 60,5% от продукции хозяй</w:t>
      </w:r>
      <w:proofErr w:type="gramStart"/>
      <w:r w:rsidRPr="00F863CB">
        <w:rPr>
          <w:sz w:val="22"/>
          <w:szCs w:val="22"/>
        </w:rPr>
        <w:t>ств вс</w:t>
      </w:r>
      <w:proofErr w:type="gramEnd"/>
      <w:r w:rsidRPr="00F863CB">
        <w:rPr>
          <w:sz w:val="22"/>
          <w:szCs w:val="22"/>
        </w:rPr>
        <w:t xml:space="preserve">ех категорий. </w:t>
      </w:r>
    </w:p>
    <w:p w:rsidR="003C492E" w:rsidRPr="00132576" w:rsidRDefault="003C492E" w:rsidP="003C492E">
      <w:pPr>
        <w:pStyle w:val="22"/>
        <w:spacing w:line="240" w:lineRule="auto"/>
        <w:rPr>
          <w:rFonts w:cs="Arial"/>
          <w:sz w:val="22"/>
        </w:rPr>
      </w:pPr>
      <w:r>
        <w:rPr>
          <w:rFonts w:cs="Arial"/>
          <w:sz w:val="22"/>
        </w:rPr>
        <w:t>В области разводят крупный рогатый скот молочно-мясного направления, занимаются птицеводством, свиноводством, овцево</w:t>
      </w:r>
      <w:r>
        <w:rPr>
          <w:rFonts w:cs="Arial"/>
          <w:sz w:val="22"/>
        </w:rPr>
        <w:t>д</w:t>
      </w:r>
      <w:r>
        <w:rPr>
          <w:rFonts w:cs="Arial"/>
          <w:sz w:val="22"/>
        </w:rPr>
        <w:t>ством. Растениеводство специализируется на производстве зерновых, технических и кормовых культур. В регионе активно занимаются садоводством.</w:t>
      </w:r>
    </w:p>
    <w:p w:rsidR="003C492E" w:rsidRPr="00871513" w:rsidRDefault="003C492E" w:rsidP="003C492E">
      <w:pPr>
        <w:pStyle w:val="22"/>
        <w:spacing w:line="240" w:lineRule="auto"/>
        <w:rPr>
          <w:rFonts w:cs="Arial"/>
          <w:sz w:val="22"/>
        </w:rPr>
      </w:pPr>
      <w:r>
        <w:rPr>
          <w:rFonts w:cs="Arial"/>
          <w:sz w:val="22"/>
        </w:rPr>
        <w:t xml:space="preserve">В последние годы экономика Ульяновской области довольно динамично развивается, привлекаются инвестиции, увеличиваются доходы и качество жизни населения. </w:t>
      </w:r>
    </w:p>
    <w:p w:rsidR="003C492E" w:rsidRDefault="003C492E" w:rsidP="003C492E">
      <w:pPr>
        <w:pStyle w:val="22"/>
        <w:spacing w:line="240" w:lineRule="auto"/>
        <w:rPr>
          <w:rFonts w:cs="Arial"/>
          <w:sz w:val="22"/>
        </w:rPr>
      </w:pPr>
      <w:r>
        <w:rPr>
          <w:rFonts w:cs="Arial"/>
          <w:sz w:val="22"/>
        </w:rPr>
        <w:t>Валовой региональный продукт (ВРП) – обобщающий показатель экономической деятельности региона. Объем ВРП области в 20</w:t>
      </w:r>
      <w:r w:rsidR="00407D4D">
        <w:rPr>
          <w:rFonts w:cs="Arial"/>
          <w:sz w:val="22"/>
        </w:rPr>
        <w:t>10</w:t>
      </w:r>
      <w:r>
        <w:rPr>
          <w:rFonts w:cs="Arial"/>
          <w:sz w:val="22"/>
        </w:rPr>
        <w:t xml:space="preserve"> году достиг </w:t>
      </w:r>
      <w:r w:rsidR="00407D4D">
        <w:rPr>
          <w:rFonts w:cs="Arial"/>
          <w:sz w:val="22"/>
        </w:rPr>
        <w:t>174,7</w:t>
      </w:r>
      <w:r>
        <w:rPr>
          <w:rFonts w:cs="Arial"/>
          <w:sz w:val="22"/>
        </w:rPr>
        <w:t xml:space="preserve"> млрд. рублей, на душу населения – </w:t>
      </w:r>
      <w:r w:rsidR="00407D4D">
        <w:rPr>
          <w:rFonts w:cs="Arial"/>
          <w:sz w:val="22"/>
        </w:rPr>
        <w:t>135,0</w:t>
      </w:r>
      <w:r>
        <w:rPr>
          <w:rFonts w:cs="Arial"/>
          <w:sz w:val="22"/>
        </w:rPr>
        <w:t xml:space="preserve"> тыс. рублей. </w:t>
      </w:r>
    </w:p>
    <w:p w:rsidR="003C492E" w:rsidRPr="00BF6A21" w:rsidRDefault="003C492E" w:rsidP="003C492E">
      <w:pPr>
        <w:pStyle w:val="21"/>
        <w:spacing w:line="240" w:lineRule="auto"/>
        <w:ind w:firstLine="709"/>
        <w:jc w:val="both"/>
        <w:rPr>
          <w:rFonts w:cs="Arial"/>
          <w:sz w:val="22"/>
        </w:rPr>
      </w:pPr>
      <w:r w:rsidRPr="00BF6A21">
        <w:rPr>
          <w:rFonts w:cs="Arial"/>
          <w:sz w:val="22"/>
        </w:rPr>
        <w:t xml:space="preserve">Перспективы развития экономики во многом определяются состоянием основных фондов  и возможностями их обновления. </w:t>
      </w:r>
      <w:proofErr w:type="gramStart"/>
      <w:r w:rsidRPr="00BF6A21">
        <w:rPr>
          <w:rFonts w:cs="Arial"/>
          <w:sz w:val="22"/>
        </w:rPr>
        <w:t>На к</w:t>
      </w:r>
      <w:r w:rsidRPr="00BF6A21">
        <w:rPr>
          <w:rFonts w:cs="Arial"/>
          <w:sz w:val="22"/>
        </w:rPr>
        <w:t>о</w:t>
      </w:r>
      <w:r w:rsidRPr="00BF6A21">
        <w:rPr>
          <w:rFonts w:cs="Arial"/>
          <w:sz w:val="22"/>
        </w:rPr>
        <w:t>нец</w:t>
      </w:r>
      <w:proofErr w:type="gramEnd"/>
      <w:r w:rsidRPr="00BF6A21">
        <w:rPr>
          <w:rFonts w:cs="Arial"/>
          <w:sz w:val="22"/>
        </w:rPr>
        <w:t xml:space="preserve"> 201</w:t>
      </w:r>
      <w:r w:rsidR="00407D4D">
        <w:rPr>
          <w:rFonts w:cs="Arial"/>
          <w:sz w:val="22"/>
        </w:rPr>
        <w:t>1</w:t>
      </w:r>
      <w:r w:rsidRPr="00BF6A21">
        <w:rPr>
          <w:rFonts w:cs="Arial"/>
          <w:sz w:val="22"/>
        </w:rPr>
        <w:t xml:space="preserve"> года полная учетная стоимость основных фондов Ульяновской области, включая собственность граждан (по балансу основного капитала), составила </w:t>
      </w:r>
      <w:r w:rsidR="00EA0AEB">
        <w:rPr>
          <w:rFonts w:cs="Arial"/>
          <w:sz w:val="22"/>
        </w:rPr>
        <w:t>525,6</w:t>
      </w:r>
      <w:r w:rsidRPr="00BF6A21">
        <w:rPr>
          <w:rFonts w:cs="Arial"/>
          <w:sz w:val="22"/>
        </w:rPr>
        <w:t xml:space="preserve"> млрд. рублей и по сравнению с началом 201</w:t>
      </w:r>
      <w:r w:rsidR="00EA0AEB">
        <w:rPr>
          <w:rFonts w:cs="Arial"/>
          <w:sz w:val="22"/>
        </w:rPr>
        <w:t>1</w:t>
      </w:r>
      <w:r w:rsidRPr="00BF6A21">
        <w:rPr>
          <w:rFonts w:cs="Arial"/>
          <w:sz w:val="22"/>
        </w:rPr>
        <w:t xml:space="preserve"> года увеличилась на </w:t>
      </w:r>
      <w:r w:rsidR="00EA0AEB">
        <w:rPr>
          <w:rFonts w:cs="Arial"/>
          <w:sz w:val="22"/>
        </w:rPr>
        <w:t>11,4</w:t>
      </w:r>
      <w:r w:rsidRPr="00BF6A21">
        <w:rPr>
          <w:rFonts w:cs="Arial"/>
          <w:sz w:val="22"/>
        </w:rPr>
        <w:t xml:space="preserve"> процент</w:t>
      </w:r>
      <w:r w:rsidR="00EA0AEB">
        <w:rPr>
          <w:rFonts w:cs="Arial"/>
          <w:sz w:val="22"/>
        </w:rPr>
        <w:t>а</w:t>
      </w:r>
      <w:r>
        <w:rPr>
          <w:rFonts w:cs="Arial"/>
          <w:sz w:val="22"/>
        </w:rPr>
        <w:t>.</w:t>
      </w:r>
    </w:p>
    <w:p w:rsidR="00EA0AEB" w:rsidRPr="00E0491D" w:rsidRDefault="00EA0AEB" w:rsidP="00EA0AEB">
      <w:pPr>
        <w:pStyle w:val="21"/>
        <w:spacing w:line="240" w:lineRule="auto"/>
        <w:ind w:firstLine="709"/>
        <w:jc w:val="both"/>
        <w:rPr>
          <w:rFonts w:cs="Arial"/>
          <w:sz w:val="22"/>
        </w:rPr>
      </w:pPr>
      <w:r>
        <w:rPr>
          <w:rFonts w:cs="Arial"/>
          <w:sz w:val="22"/>
        </w:rPr>
        <w:t xml:space="preserve">В последние годы в область пришли крупнейшие мировые производители: компания </w:t>
      </w:r>
      <w:r>
        <w:rPr>
          <w:rFonts w:cs="Arial"/>
          <w:sz w:val="22"/>
          <w:lang w:val="en-US"/>
        </w:rPr>
        <w:t>SABMiller</w:t>
      </w:r>
      <w:r>
        <w:rPr>
          <w:rFonts w:cs="Arial"/>
          <w:sz w:val="22"/>
        </w:rPr>
        <w:t xml:space="preserve"> построила свой пивоваренный з</w:t>
      </w:r>
      <w:r>
        <w:rPr>
          <w:rFonts w:cs="Arial"/>
          <w:sz w:val="22"/>
        </w:rPr>
        <w:t>а</w:t>
      </w:r>
      <w:r>
        <w:rPr>
          <w:rFonts w:cs="Arial"/>
          <w:sz w:val="22"/>
        </w:rPr>
        <w:t>вод, появились филиал</w:t>
      </w:r>
      <w:proofErr w:type="gramStart"/>
      <w:r>
        <w:rPr>
          <w:rFonts w:cs="Arial"/>
          <w:sz w:val="22"/>
        </w:rPr>
        <w:t>ы ООО</w:t>
      </w:r>
      <w:proofErr w:type="gramEnd"/>
      <w:r>
        <w:rPr>
          <w:rFonts w:cs="Arial"/>
          <w:sz w:val="22"/>
        </w:rPr>
        <w:t xml:space="preserve"> «Марс»  производящие корма  для животных и кондитерские изделия. «</w:t>
      </w:r>
      <w:proofErr w:type="spellStart"/>
      <w:r>
        <w:rPr>
          <w:rFonts w:cs="Arial"/>
          <w:sz w:val="22"/>
        </w:rPr>
        <w:t>ХенкельБаутех</w:t>
      </w:r>
      <w:proofErr w:type="spellEnd"/>
      <w:r>
        <w:rPr>
          <w:rFonts w:cs="Arial"/>
          <w:sz w:val="22"/>
        </w:rPr>
        <w:t>» открыл завод по производству сухих строительных смесей. Открылись такие предприятия, как  ООО «</w:t>
      </w:r>
      <w:proofErr w:type="spellStart"/>
      <w:r>
        <w:rPr>
          <w:rFonts w:cs="Arial"/>
          <w:sz w:val="22"/>
        </w:rPr>
        <w:t>Таката</w:t>
      </w:r>
      <w:proofErr w:type="spellEnd"/>
      <w:r>
        <w:rPr>
          <w:rFonts w:cs="Arial"/>
          <w:sz w:val="22"/>
        </w:rPr>
        <w:t xml:space="preserve"> Рус» производящие части и принадлежности для автотранспортных средств, ЗАО «СОЛЛЕРС-ИСУЗУ» - шасси для грузовых автомобилей, ООО «БАУ Мотор Корпорэйшн» - грузовые автомобили и автобусы.</w:t>
      </w:r>
    </w:p>
    <w:p w:rsidR="00EA0AEB" w:rsidRDefault="00EA0AEB" w:rsidP="00EA0AEB">
      <w:pPr>
        <w:pStyle w:val="21"/>
        <w:spacing w:line="240" w:lineRule="auto"/>
        <w:ind w:firstLine="709"/>
        <w:jc w:val="both"/>
        <w:rPr>
          <w:rFonts w:cs="Arial"/>
          <w:sz w:val="22"/>
        </w:rPr>
      </w:pPr>
      <w:r>
        <w:rPr>
          <w:rFonts w:cs="Arial"/>
          <w:sz w:val="22"/>
        </w:rPr>
        <w:t>Промышленное производство играет важную роль в экономике Ульяновской области. Предприятия и организации, работающие в данной сфере, вносят заметный вклад в формирование валового регионального продукта, прибыли, инвестиционных поступлений и др</w:t>
      </w:r>
      <w:r>
        <w:rPr>
          <w:rFonts w:cs="Arial"/>
          <w:sz w:val="22"/>
        </w:rPr>
        <w:t>у</w:t>
      </w:r>
      <w:r>
        <w:rPr>
          <w:rFonts w:cs="Arial"/>
          <w:sz w:val="22"/>
        </w:rPr>
        <w:t>гих значимых экономических показателей.</w:t>
      </w:r>
    </w:p>
    <w:p w:rsidR="00EA0AEB" w:rsidRDefault="00EA0AEB" w:rsidP="00EA0AEB">
      <w:pPr>
        <w:pStyle w:val="21"/>
        <w:spacing w:line="240" w:lineRule="auto"/>
        <w:ind w:firstLine="709"/>
        <w:jc w:val="both"/>
        <w:rPr>
          <w:rFonts w:cs="Arial"/>
          <w:sz w:val="22"/>
        </w:rPr>
      </w:pPr>
      <w:r>
        <w:rPr>
          <w:rFonts w:cs="Arial"/>
          <w:sz w:val="22"/>
        </w:rPr>
        <w:t xml:space="preserve">Прошедший 2011 год свидетельствует о стабилизации социально-экономической обстановки в регионе. Основной показатель успешного развития промышленного сектора экономики  - индекс промышленного производства. В 2011 году индекс промышленного производства по сравнению с  2010 годом вырос  на 9,6% (по России – на 4,7%, по ПФО – 8,5%). </w:t>
      </w:r>
    </w:p>
    <w:p w:rsidR="00EA0AEB" w:rsidRDefault="00EA0AEB" w:rsidP="00EA0AEB">
      <w:pPr>
        <w:pStyle w:val="21"/>
        <w:spacing w:line="240" w:lineRule="auto"/>
        <w:ind w:firstLine="709"/>
        <w:jc w:val="both"/>
        <w:rPr>
          <w:rFonts w:cs="Arial"/>
          <w:sz w:val="22"/>
        </w:rPr>
      </w:pPr>
      <w:r>
        <w:rPr>
          <w:rFonts w:cs="Arial"/>
          <w:sz w:val="22"/>
        </w:rPr>
        <w:lastRenderedPageBreak/>
        <w:t>Рост промышленного производства в 2011 году  в большей степени обусловлен увеличением объемов обрабатывающих прои</w:t>
      </w:r>
      <w:r>
        <w:rPr>
          <w:rFonts w:cs="Arial"/>
          <w:sz w:val="22"/>
        </w:rPr>
        <w:t>з</w:t>
      </w:r>
      <w:r>
        <w:rPr>
          <w:rFonts w:cs="Arial"/>
          <w:sz w:val="22"/>
        </w:rPr>
        <w:t>водств  (на 21,0%), как имеющих наибольшую долю в структуре промышленного производства региона. Индекс промышленного прои</w:t>
      </w:r>
      <w:r>
        <w:rPr>
          <w:rFonts w:cs="Arial"/>
          <w:sz w:val="22"/>
        </w:rPr>
        <w:t>з</w:t>
      </w:r>
      <w:r>
        <w:rPr>
          <w:rFonts w:cs="Arial"/>
          <w:sz w:val="22"/>
        </w:rPr>
        <w:t>водства по данному виду деятельности за 2011 год составил 111,3 процента (по России -.106,5%, по ПФО – 102,0%).</w:t>
      </w:r>
    </w:p>
    <w:p w:rsidR="00E86CBB" w:rsidRDefault="00E86CBB" w:rsidP="00EA0AEB">
      <w:pPr>
        <w:pStyle w:val="21"/>
        <w:spacing w:line="240" w:lineRule="auto"/>
        <w:ind w:firstLine="709"/>
        <w:jc w:val="both"/>
        <w:rPr>
          <w:rFonts w:cs="Arial"/>
          <w:sz w:val="22"/>
        </w:rPr>
      </w:pPr>
      <w:r w:rsidRPr="002C016E">
        <w:rPr>
          <w:rFonts w:cs="Arial"/>
          <w:sz w:val="22"/>
        </w:rPr>
        <w:t>Развитие промышленного производства невозможно без значительных финансовых вложений:  модерниз</w:t>
      </w:r>
      <w:r>
        <w:rPr>
          <w:rFonts w:cs="Arial"/>
          <w:sz w:val="22"/>
        </w:rPr>
        <w:t>ации</w:t>
      </w:r>
      <w:r>
        <w:rPr>
          <w:sz w:val="22"/>
          <w:szCs w:val="22"/>
        </w:rPr>
        <w:t xml:space="preserve"> технологий, замены изношенного оборудования, создания дополнительных рабочих мест и привлечения высококвалифицированных кадров. В 2011 году на крупные и средние промышленные предприятия было направлено 13569,8 млн. рублей инвестиций в основной капитал, что на 7,0 пр</w:t>
      </w:r>
      <w:r>
        <w:rPr>
          <w:sz w:val="22"/>
          <w:szCs w:val="22"/>
        </w:rPr>
        <w:t>о</w:t>
      </w:r>
      <w:r>
        <w:rPr>
          <w:sz w:val="22"/>
          <w:szCs w:val="22"/>
        </w:rPr>
        <w:t xml:space="preserve">центов больше, чем в 2010 году. В структуре инвестиций  производства промышленных видов деятельности наибольший удельный вес занимают обрабатывающие производства 74,4%.  </w:t>
      </w:r>
    </w:p>
    <w:p w:rsidR="003C492E" w:rsidRPr="00436C7C" w:rsidRDefault="003C492E" w:rsidP="00EA0AEB">
      <w:pPr>
        <w:ind w:firstLine="709"/>
        <w:jc w:val="both"/>
        <w:rPr>
          <w:rFonts w:ascii="Arial" w:hAnsi="Arial" w:cs="Arial"/>
          <w:sz w:val="22"/>
          <w:szCs w:val="22"/>
        </w:rPr>
      </w:pPr>
      <w:r w:rsidRPr="00436C7C">
        <w:rPr>
          <w:rFonts w:ascii="Arial" w:hAnsi="Arial" w:cs="Arial"/>
          <w:sz w:val="22"/>
          <w:szCs w:val="22"/>
        </w:rPr>
        <w:t>Большое внимание в промышленном секторе уделяется развитию малого предпринимательства</w:t>
      </w:r>
      <w:r w:rsidR="007E1561">
        <w:rPr>
          <w:rFonts w:ascii="Arial" w:hAnsi="Arial" w:cs="Arial"/>
          <w:sz w:val="22"/>
          <w:szCs w:val="22"/>
        </w:rPr>
        <w:t xml:space="preserve">. </w:t>
      </w:r>
      <w:r w:rsidRPr="00436C7C">
        <w:rPr>
          <w:rFonts w:ascii="Arial" w:hAnsi="Arial" w:cs="Arial"/>
          <w:sz w:val="22"/>
          <w:szCs w:val="22"/>
        </w:rPr>
        <w:t>Предприятия малого бизнеса области производят: смеси асфальтобетонные, изделия из пластмасс, окна и двери полимерные, счетчики производства и потребления жидкости, мебель и фурнитуру для мебели, кирпич керамический, материалы лакокрасочные, нефть, трикотажные и чулочно-носочные изделия, ткани, одежду и спецодежду, обувь, пищевые продукты.</w:t>
      </w:r>
    </w:p>
    <w:p w:rsidR="003C492E" w:rsidRDefault="003C492E" w:rsidP="003C492E">
      <w:pPr>
        <w:pStyle w:val="22"/>
        <w:spacing w:line="240" w:lineRule="auto"/>
        <w:rPr>
          <w:rFonts w:cs="Arial"/>
          <w:sz w:val="22"/>
        </w:rPr>
      </w:pPr>
      <w:proofErr w:type="gramStart"/>
      <w:r>
        <w:rPr>
          <w:rFonts w:cs="Arial"/>
          <w:sz w:val="22"/>
        </w:rPr>
        <w:t xml:space="preserve">На территории области введены следующие наиболее крупные мощности и объекты: первый  пусковой комплекс </w:t>
      </w:r>
      <w:r>
        <w:rPr>
          <w:rFonts w:cs="Arial"/>
          <w:sz w:val="22"/>
          <w:lang w:val="en-US"/>
        </w:rPr>
        <w:t>I</w:t>
      </w:r>
      <w:r>
        <w:rPr>
          <w:rFonts w:cs="Arial"/>
          <w:sz w:val="22"/>
        </w:rPr>
        <w:t xml:space="preserve"> очереди стро</w:t>
      </w:r>
      <w:r>
        <w:rPr>
          <w:rFonts w:cs="Arial"/>
          <w:sz w:val="22"/>
        </w:rPr>
        <w:t>и</w:t>
      </w:r>
      <w:r>
        <w:rPr>
          <w:rFonts w:cs="Arial"/>
          <w:sz w:val="22"/>
        </w:rPr>
        <w:t>тельства мостового перехода через р. Волга протяженностью 12,9 км, здание главного корпуса спортивно-развлекательного комплекса "Ленинские горки" с рестораном, кафе и баром (290 посадочных мест) в г. Ульяновске; два физкультурно-оздоровительных комплекса в г. Ульяновске и плоскостное спортивное сооружение в Ульяновском районе;</w:t>
      </w:r>
      <w:proofErr w:type="gramEnd"/>
      <w:r>
        <w:rPr>
          <w:rFonts w:cs="Arial"/>
          <w:sz w:val="22"/>
        </w:rPr>
        <w:t xml:space="preserve"> ГОУ ВПО "Ульяновский государственный университет" сдан федеральный экспериментальный центр "Детский </w:t>
      </w:r>
      <w:proofErr w:type="spellStart"/>
      <w:r>
        <w:rPr>
          <w:rFonts w:cs="Arial"/>
          <w:sz w:val="22"/>
        </w:rPr>
        <w:t>автогород</w:t>
      </w:r>
      <w:proofErr w:type="spellEnd"/>
      <w:r>
        <w:rPr>
          <w:rFonts w:cs="Arial"/>
          <w:sz w:val="22"/>
        </w:rPr>
        <w:t>", в  г. Димитровграде за счет реконструкции увеличена площадь учебно-лабораторных зданий филиала ФГОУ ВПО "Ульяновская сельскохозяйственная академия" на 332 кв. метра. Увеличены мощности: д</w:t>
      </w:r>
      <w:r>
        <w:rPr>
          <w:rFonts w:cs="Arial"/>
          <w:sz w:val="22"/>
        </w:rPr>
        <w:t>о</w:t>
      </w:r>
      <w:r>
        <w:rPr>
          <w:rFonts w:cs="Arial"/>
          <w:sz w:val="22"/>
        </w:rPr>
        <w:t xml:space="preserve">школьных учреждений на 25 мест в </w:t>
      </w:r>
      <w:proofErr w:type="spellStart"/>
      <w:r>
        <w:rPr>
          <w:rFonts w:cs="Arial"/>
          <w:sz w:val="22"/>
        </w:rPr>
        <w:t>Мелекесском</w:t>
      </w:r>
      <w:proofErr w:type="spellEnd"/>
      <w:r>
        <w:rPr>
          <w:rFonts w:cs="Arial"/>
          <w:sz w:val="22"/>
        </w:rPr>
        <w:t xml:space="preserve"> районе, санатория им. В.И.Ленина в Ульяновском районе  на 12 коек. В районах обл</w:t>
      </w:r>
      <w:r>
        <w:rPr>
          <w:rFonts w:cs="Arial"/>
          <w:sz w:val="22"/>
        </w:rPr>
        <w:t>а</w:t>
      </w:r>
      <w:r>
        <w:rPr>
          <w:rFonts w:cs="Arial"/>
          <w:sz w:val="22"/>
        </w:rPr>
        <w:t>сти сданы коммунальные газовые сети протяженностью 495,9 км против 118,8 км в 2008 году, торговые предприятия с торговой площ</w:t>
      </w:r>
      <w:r>
        <w:rPr>
          <w:rFonts w:cs="Arial"/>
          <w:sz w:val="22"/>
        </w:rPr>
        <w:t>а</w:t>
      </w:r>
      <w:r>
        <w:rPr>
          <w:rFonts w:cs="Arial"/>
          <w:sz w:val="22"/>
        </w:rPr>
        <w:t>дью 40,7 тыс. кв. метров (в 2008 г. – 33,9 тыс. кв. метров), среди которых торговый комплекс "</w:t>
      </w:r>
      <w:proofErr w:type="spellStart"/>
      <w:r>
        <w:rPr>
          <w:rFonts w:cs="Arial"/>
          <w:sz w:val="22"/>
        </w:rPr>
        <w:t>Пушкаревское</w:t>
      </w:r>
      <w:proofErr w:type="spellEnd"/>
      <w:r>
        <w:rPr>
          <w:rFonts w:cs="Arial"/>
          <w:sz w:val="22"/>
        </w:rPr>
        <w:t xml:space="preserve"> кольцо" площадью 11,7 тыс. кв. метров.</w:t>
      </w:r>
    </w:p>
    <w:p w:rsidR="003C492E" w:rsidRDefault="003C492E" w:rsidP="003C492E">
      <w:pPr>
        <w:shd w:val="clear" w:color="auto" w:fill="FFFFFF"/>
        <w:ind w:firstLine="709"/>
        <w:jc w:val="both"/>
        <w:rPr>
          <w:rFonts w:ascii="Arial" w:hAnsi="Arial" w:cs="Arial"/>
          <w:sz w:val="22"/>
        </w:rPr>
      </w:pPr>
      <w:r w:rsidRPr="00D945FE">
        <w:rPr>
          <w:rFonts w:ascii="Arial" w:hAnsi="Arial" w:cs="Arial"/>
          <w:sz w:val="22"/>
        </w:rPr>
        <w:t>За последние 10 лет введены в действие мощности по  производству: запасных частей к  автомобилям; строительного кирпича, пиломатериалов, стеновых материалов и сухих смесей; цельномолочной продукции, пива, хлебобулочных и кондитерских изделий. Еж</w:t>
      </w:r>
      <w:r w:rsidRPr="00D945FE">
        <w:rPr>
          <w:rFonts w:ascii="Arial" w:hAnsi="Arial" w:cs="Arial"/>
          <w:sz w:val="22"/>
        </w:rPr>
        <w:t>е</w:t>
      </w:r>
      <w:r w:rsidRPr="00D945FE">
        <w:rPr>
          <w:rFonts w:ascii="Arial" w:hAnsi="Arial" w:cs="Arial"/>
          <w:sz w:val="22"/>
        </w:rPr>
        <w:t>годно осуществлялась сдача в эксплуатацию автомобильных дорог с твердым покрытием, газовых сетей, помещений для животных и птицы, предприятий торговли и общественного питания, мощностей в связи.</w:t>
      </w:r>
    </w:p>
    <w:p w:rsidR="00535A4A" w:rsidRPr="00D945FE" w:rsidRDefault="00535A4A" w:rsidP="003C492E">
      <w:pPr>
        <w:shd w:val="clear" w:color="auto" w:fill="FFFFFF"/>
        <w:ind w:firstLine="709"/>
        <w:jc w:val="both"/>
        <w:rPr>
          <w:rFonts w:ascii="Arial" w:hAnsi="Arial" w:cs="Arial"/>
          <w:sz w:val="22"/>
        </w:rPr>
      </w:pPr>
      <w:r>
        <w:rPr>
          <w:rFonts w:ascii="Arial" w:hAnsi="Arial" w:cs="Arial"/>
          <w:sz w:val="22"/>
        </w:rPr>
        <w:t>В целях развития спортивной инфраструктуры построены физкультурно-оздоровительные комплексы, спортивное сооружение с искусственным льдом, плавательные бассейны, плоскостные спортивные сооружения (футбольные поля, игровые площадки и др.).</w:t>
      </w:r>
    </w:p>
    <w:p w:rsidR="003C492E" w:rsidRPr="00761442" w:rsidRDefault="003C492E" w:rsidP="003C492E">
      <w:pPr>
        <w:pStyle w:val="a3"/>
        <w:spacing w:line="240" w:lineRule="auto"/>
        <w:ind w:firstLine="720"/>
        <w:jc w:val="both"/>
        <w:rPr>
          <w:rFonts w:ascii="Arial" w:hAnsi="Arial" w:cs="Arial"/>
          <w:b w:val="0"/>
        </w:rPr>
      </w:pPr>
      <w:r>
        <w:rPr>
          <w:rFonts w:ascii="Arial" w:hAnsi="Arial" w:cs="Arial"/>
          <w:b w:val="0"/>
        </w:rPr>
        <w:t>В соответствии с программой  «Социальное развитие села до 2010 года» осуществлялось строительство газовых сетей и вод</w:t>
      </w:r>
      <w:r>
        <w:rPr>
          <w:rFonts w:ascii="Arial" w:hAnsi="Arial" w:cs="Arial"/>
          <w:b w:val="0"/>
        </w:rPr>
        <w:t>о</w:t>
      </w:r>
      <w:r>
        <w:rPr>
          <w:rFonts w:ascii="Arial" w:hAnsi="Arial" w:cs="Arial"/>
          <w:b w:val="0"/>
        </w:rPr>
        <w:t>проводов</w:t>
      </w:r>
      <w:r w:rsidRPr="000F38CF">
        <w:rPr>
          <w:rFonts w:ascii="Arial" w:hAnsi="Arial" w:cs="Arial"/>
          <w:b w:val="0"/>
        </w:rPr>
        <w:t xml:space="preserve">. </w:t>
      </w:r>
      <w:r w:rsidR="00761442" w:rsidRPr="00761442">
        <w:rPr>
          <w:rFonts w:ascii="Arial" w:hAnsi="Arial" w:cs="Arial"/>
          <w:b w:val="0"/>
        </w:rPr>
        <w:t>За период с 1991 г. по 2011 г. сдано в эксплуатацию 5112,8 км газопроводов, 1677,9 км – водопроводов, автомобильных дорог протяжённостью  1503,5 км.</w:t>
      </w:r>
    </w:p>
    <w:p w:rsidR="003C492E" w:rsidRDefault="003C492E" w:rsidP="003C492E">
      <w:pPr>
        <w:pStyle w:val="22"/>
        <w:spacing w:before="60" w:after="60" w:line="240" w:lineRule="auto"/>
        <w:rPr>
          <w:sz w:val="22"/>
          <w:szCs w:val="22"/>
        </w:rPr>
      </w:pPr>
      <w:r w:rsidRPr="009E2E4F">
        <w:rPr>
          <w:sz w:val="22"/>
          <w:szCs w:val="22"/>
        </w:rPr>
        <w:t>В настоящее время в области ведется строительство легкоатлетического манежа, торгово-развлекательного комплекса "</w:t>
      </w:r>
      <w:proofErr w:type="spellStart"/>
      <w:r w:rsidRPr="009E2E4F">
        <w:rPr>
          <w:sz w:val="22"/>
          <w:szCs w:val="22"/>
        </w:rPr>
        <w:t>Акв</w:t>
      </w:r>
      <w:r w:rsidRPr="009E2E4F">
        <w:rPr>
          <w:sz w:val="22"/>
          <w:szCs w:val="22"/>
        </w:rPr>
        <w:t>а</w:t>
      </w:r>
      <w:r w:rsidRPr="009E2E4F">
        <w:rPr>
          <w:sz w:val="22"/>
          <w:szCs w:val="22"/>
        </w:rPr>
        <w:t>молл</w:t>
      </w:r>
      <w:proofErr w:type="spellEnd"/>
      <w:r w:rsidRPr="009E2E4F">
        <w:rPr>
          <w:sz w:val="22"/>
          <w:szCs w:val="22"/>
        </w:rPr>
        <w:t xml:space="preserve">" с девятью кинозалами и другие крупные объекты. </w:t>
      </w:r>
    </w:p>
    <w:p w:rsidR="003C492E" w:rsidRDefault="00D8749B" w:rsidP="00D8749B">
      <w:pPr>
        <w:ind w:firstLine="720"/>
        <w:jc w:val="both"/>
        <w:rPr>
          <w:rFonts w:ascii="Arial" w:hAnsi="Arial" w:cs="Arial"/>
          <w:sz w:val="22"/>
        </w:rPr>
      </w:pPr>
      <w:r>
        <w:rPr>
          <w:rFonts w:ascii="Arial" w:hAnsi="Arial" w:cs="Arial"/>
          <w:bCs/>
          <w:sz w:val="22"/>
        </w:rPr>
        <w:t>В 2011 году в рамках реализации приоритетного национального проекта  «Развитие агропромышленного комплекса» на террит</w:t>
      </w:r>
      <w:r>
        <w:rPr>
          <w:rFonts w:ascii="Arial" w:hAnsi="Arial" w:cs="Arial"/>
          <w:bCs/>
          <w:sz w:val="22"/>
        </w:rPr>
        <w:t>о</w:t>
      </w:r>
      <w:r>
        <w:rPr>
          <w:rFonts w:ascii="Arial" w:hAnsi="Arial" w:cs="Arial"/>
          <w:bCs/>
          <w:sz w:val="22"/>
        </w:rPr>
        <w:t xml:space="preserve">рии   Ульяновской области финансирование его мероприятий составило </w:t>
      </w:r>
      <w:r w:rsidRPr="002B0A9C">
        <w:rPr>
          <w:rFonts w:ascii="Arial" w:hAnsi="Arial" w:cs="Arial"/>
          <w:bCs/>
          <w:sz w:val="22"/>
        </w:rPr>
        <w:t>1 320,093</w:t>
      </w:r>
      <w:r>
        <w:rPr>
          <w:rFonts w:ascii="Arial" w:hAnsi="Arial" w:cs="Arial"/>
          <w:bCs/>
          <w:sz w:val="22"/>
        </w:rPr>
        <w:t xml:space="preserve">млн. рублей </w:t>
      </w:r>
      <w:r w:rsidRPr="00724C43">
        <w:rPr>
          <w:rFonts w:ascii="Arial" w:hAnsi="Arial" w:cs="Arial"/>
          <w:bCs/>
          <w:sz w:val="22"/>
        </w:rPr>
        <w:t xml:space="preserve">(в 2010 - </w:t>
      </w:r>
      <w:r>
        <w:rPr>
          <w:rFonts w:ascii="Arial" w:hAnsi="Arial" w:cs="Arial"/>
          <w:bCs/>
          <w:sz w:val="22"/>
        </w:rPr>
        <w:t>1254,56), из которых 1013,43 млн. рублей – федеральные средства (в 2010 - 1003,117), 306,663 млн. рублей – средства консолидированного бюджета области (в 2010-251,443).  На поддержку племенного животноводства выделено 55,023 млн. рублей, на развитие семеноводства – 59,557, на приобрет</w:t>
      </w:r>
      <w:r>
        <w:rPr>
          <w:rFonts w:ascii="Arial" w:hAnsi="Arial" w:cs="Arial"/>
          <w:bCs/>
          <w:sz w:val="22"/>
        </w:rPr>
        <w:t>е</w:t>
      </w:r>
      <w:r>
        <w:rPr>
          <w:rFonts w:ascii="Arial" w:hAnsi="Arial" w:cs="Arial"/>
          <w:bCs/>
          <w:sz w:val="22"/>
        </w:rPr>
        <w:t>ние минеральных удобрений – 128,9млн. рублей.</w:t>
      </w:r>
      <w:r w:rsidR="00406629">
        <w:rPr>
          <w:rFonts w:ascii="Arial" w:hAnsi="Arial" w:cs="Arial"/>
          <w:bCs/>
          <w:sz w:val="22"/>
        </w:rPr>
        <w:t xml:space="preserve"> </w:t>
      </w:r>
      <w:r w:rsidR="003C492E">
        <w:rPr>
          <w:rFonts w:ascii="Arial" w:hAnsi="Arial" w:cs="Arial"/>
          <w:bCs/>
          <w:sz w:val="22"/>
        </w:rPr>
        <w:t>Реализация н</w:t>
      </w:r>
      <w:r w:rsidR="003C492E">
        <w:rPr>
          <w:rFonts w:ascii="Arial" w:hAnsi="Arial" w:cs="Arial"/>
          <w:sz w:val="22"/>
        </w:rPr>
        <w:t xml:space="preserve">ационального проекта позволила </w:t>
      </w:r>
      <w:proofErr w:type="spellStart"/>
      <w:r w:rsidR="003C492E">
        <w:rPr>
          <w:rFonts w:ascii="Arial" w:hAnsi="Arial" w:cs="Arial"/>
          <w:sz w:val="22"/>
        </w:rPr>
        <w:t>сельхозорганизациям</w:t>
      </w:r>
      <w:proofErr w:type="spellEnd"/>
      <w:r w:rsidR="003C492E">
        <w:rPr>
          <w:rFonts w:ascii="Arial" w:hAnsi="Arial" w:cs="Arial"/>
          <w:sz w:val="22"/>
        </w:rPr>
        <w:t xml:space="preserve"> начать кард</w:t>
      </w:r>
      <w:r w:rsidR="003C492E">
        <w:rPr>
          <w:rFonts w:ascii="Arial" w:hAnsi="Arial" w:cs="Arial"/>
          <w:sz w:val="22"/>
        </w:rPr>
        <w:t>и</w:t>
      </w:r>
      <w:r w:rsidR="003C492E">
        <w:rPr>
          <w:rFonts w:ascii="Arial" w:hAnsi="Arial" w:cs="Arial"/>
          <w:sz w:val="22"/>
        </w:rPr>
        <w:lastRenderedPageBreak/>
        <w:t>нальное обновление основных производственных фондов, приобрести племенной скот и современную сельскохозяйственную технику, кот</w:t>
      </w:r>
      <w:r w:rsidR="003C492E">
        <w:rPr>
          <w:rFonts w:ascii="Arial" w:hAnsi="Arial" w:cs="Arial"/>
          <w:sz w:val="22"/>
        </w:rPr>
        <w:t>о</w:t>
      </w:r>
      <w:r w:rsidR="003C492E">
        <w:rPr>
          <w:rFonts w:ascii="Arial" w:hAnsi="Arial" w:cs="Arial"/>
          <w:sz w:val="22"/>
        </w:rPr>
        <w:t>рая позволяет использовать наиболее прогрессивные технологии земледелия.</w:t>
      </w:r>
    </w:p>
    <w:p w:rsidR="00D8749B" w:rsidRDefault="003C492E" w:rsidP="00D8749B">
      <w:pPr>
        <w:pStyle w:val="aa"/>
        <w:spacing w:line="240" w:lineRule="auto"/>
        <w:rPr>
          <w:sz w:val="22"/>
          <w:szCs w:val="22"/>
        </w:rPr>
      </w:pPr>
      <w:r>
        <w:rPr>
          <w:sz w:val="22"/>
          <w:szCs w:val="22"/>
        </w:rPr>
        <w:t>Предприятия Ульяновской области активно ведут внешнеэкономическую деятельность, которая начала формироваться после 90-х годов и окончательно сложилась к 1995 году.</w:t>
      </w:r>
      <w:r w:rsidR="00406629">
        <w:rPr>
          <w:sz w:val="22"/>
          <w:szCs w:val="22"/>
        </w:rPr>
        <w:t xml:space="preserve"> </w:t>
      </w:r>
      <w:r w:rsidR="00D8749B">
        <w:rPr>
          <w:sz w:val="22"/>
          <w:szCs w:val="22"/>
        </w:rPr>
        <w:t>По состоянию на 1 января 201</w:t>
      </w:r>
      <w:r w:rsidR="00D8749B" w:rsidRPr="004443C6">
        <w:rPr>
          <w:sz w:val="22"/>
          <w:szCs w:val="22"/>
        </w:rPr>
        <w:t>2</w:t>
      </w:r>
      <w:r w:rsidR="00D8749B">
        <w:rPr>
          <w:sz w:val="22"/>
          <w:szCs w:val="22"/>
        </w:rPr>
        <w:t xml:space="preserve"> года в области действовало </w:t>
      </w:r>
      <w:r w:rsidR="00D8749B" w:rsidRPr="004443C6">
        <w:rPr>
          <w:sz w:val="22"/>
          <w:szCs w:val="22"/>
        </w:rPr>
        <w:t>7</w:t>
      </w:r>
      <w:r w:rsidR="00D8749B">
        <w:rPr>
          <w:sz w:val="22"/>
          <w:szCs w:val="22"/>
        </w:rPr>
        <w:t>5 организаций с участием иностранного капитала. Оборот по предприятиям и организациям с участием иностранного капитала за 201</w:t>
      </w:r>
      <w:r w:rsidR="00D8749B" w:rsidRPr="004443C6">
        <w:rPr>
          <w:sz w:val="22"/>
          <w:szCs w:val="22"/>
        </w:rPr>
        <w:t>1</w:t>
      </w:r>
      <w:r w:rsidR="00D8749B">
        <w:rPr>
          <w:sz w:val="22"/>
          <w:szCs w:val="22"/>
        </w:rPr>
        <w:t xml:space="preserve"> год составил 91163,1 млн. ру</w:t>
      </w:r>
      <w:r w:rsidR="00D8749B">
        <w:rPr>
          <w:sz w:val="22"/>
          <w:szCs w:val="22"/>
        </w:rPr>
        <w:t>б</w:t>
      </w:r>
      <w:r w:rsidR="00D8749B">
        <w:rPr>
          <w:sz w:val="22"/>
          <w:szCs w:val="22"/>
        </w:rPr>
        <w:t>лей, или 110,6% к 2010 году.</w:t>
      </w:r>
    </w:p>
    <w:p w:rsidR="003C492E" w:rsidRDefault="00D8749B" w:rsidP="00D8749B">
      <w:pPr>
        <w:pStyle w:val="aa"/>
        <w:spacing w:line="240" w:lineRule="auto"/>
        <w:rPr>
          <w:sz w:val="22"/>
          <w:szCs w:val="22"/>
        </w:rPr>
      </w:pPr>
      <w:r w:rsidRPr="004443C6">
        <w:rPr>
          <w:sz w:val="22"/>
          <w:szCs w:val="26"/>
        </w:rPr>
        <w:t>Предприятия с участием иностранного капитала созданы при участии иностранных инвесторов из 29 государств. При этом 96,9% взносов в уставный капитал иностранных юридических и физических лиц  приходится на 5 государств. Так, доля инвесторов из Кипра состав</w:t>
      </w:r>
      <w:r>
        <w:rPr>
          <w:sz w:val="22"/>
          <w:szCs w:val="26"/>
        </w:rPr>
        <w:t>ила</w:t>
      </w:r>
      <w:r w:rsidRPr="004443C6">
        <w:rPr>
          <w:sz w:val="22"/>
          <w:szCs w:val="26"/>
        </w:rPr>
        <w:t xml:space="preserve"> 31,6%, Германии – 22,8%,  Австрии 18,3%, Канады – 18,1%, Соединённого Королевства (Великобритании) – 6,1%. </w:t>
      </w:r>
    </w:p>
    <w:p w:rsidR="008222DA" w:rsidRDefault="008222DA" w:rsidP="008222DA">
      <w:pPr>
        <w:pStyle w:val="aa"/>
        <w:spacing w:line="240" w:lineRule="auto"/>
        <w:rPr>
          <w:sz w:val="22"/>
          <w:szCs w:val="22"/>
        </w:rPr>
      </w:pPr>
      <w:r>
        <w:rPr>
          <w:sz w:val="22"/>
          <w:szCs w:val="22"/>
        </w:rPr>
        <w:t>Одним из важнейших элементов внешнеэкономической деятельности является поступление иностранных инвестиций.</w:t>
      </w:r>
    </w:p>
    <w:p w:rsidR="008222DA" w:rsidRDefault="008222DA" w:rsidP="008222DA">
      <w:pPr>
        <w:pStyle w:val="aa"/>
        <w:spacing w:line="240" w:lineRule="auto"/>
        <w:rPr>
          <w:sz w:val="22"/>
          <w:szCs w:val="22"/>
        </w:rPr>
      </w:pPr>
      <w:r>
        <w:rPr>
          <w:sz w:val="22"/>
          <w:szCs w:val="22"/>
        </w:rPr>
        <w:t>В 2011 году от зарубежных партнеров на развитие экономики области поступило 67501,3 тыс. долларов США. Всего же за период с 1992 г. по 2011 г. накопления иностранных инвесторов достигли 231005,7 тыс. долларов США.</w:t>
      </w:r>
    </w:p>
    <w:p w:rsidR="008222DA" w:rsidRPr="0013601A" w:rsidRDefault="008222DA" w:rsidP="008222DA">
      <w:pPr>
        <w:ind w:firstLine="720"/>
        <w:jc w:val="both"/>
        <w:rPr>
          <w:rFonts w:ascii="Arial" w:hAnsi="Arial" w:cs="Arial"/>
          <w:sz w:val="22"/>
          <w:szCs w:val="26"/>
        </w:rPr>
      </w:pPr>
      <w:r w:rsidRPr="0013601A">
        <w:rPr>
          <w:rFonts w:ascii="Arial" w:hAnsi="Arial" w:cs="Arial"/>
          <w:sz w:val="22"/>
          <w:szCs w:val="26"/>
        </w:rPr>
        <w:t>Основными странами-инвесторами остаются Германия и Кипр</w:t>
      </w:r>
      <w:r>
        <w:rPr>
          <w:rFonts w:ascii="Arial" w:hAnsi="Arial" w:cs="Arial"/>
          <w:sz w:val="22"/>
          <w:szCs w:val="26"/>
        </w:rPr>
        <w:t>.</w:t>
      </w:r>
      <w:r w:rsidR="00406629">
        <w:rPr>
          <w:rFonts w:ascii="Arial" w:hAnsi="Arial" w:cs="Arial"/>
          <w:sz w:val="22"/>
          <w:szCs w:val="26"/>
        </w:rPr>
        <w:t xml:space="preserve"> </w:t>
      </w:r>
      <w:r>
        <w:rPr>
          <w:rFonts w:ascii="Arial" w:hAnsi="Arial" w:cs="Arial"/>
          <w:sz w:val="22"/>
          <w:szCs w:val="26"/>
        </w:rPr>
        <w:t>И</w:t>
      </w:r>
      <w:r w:rsidRPr="0013601A">
        <w:rPr>
          <w:rFonts w:ascii="Arial" w:hAnsi="Arial" w:cs="Arial"/>
          <w:sz w:val="22"/>
          <w:szCs w:val="26"/>
        </w:rPr>
        <w:t>нвестиции из этих государств занимают 81,8% в общем объёме поступлений в 2011 году.</w:t>
      </w:r>
    </w:p>
    <w:p w:rsidR="008222DA" w:rsidRPr="0013601A" w:rsidRDefault="008222DA" w:rsidP="008222DA">
      <w:pPr>
        <w:ind w:firstLine="720"/>
        <w:jc w:val="both"/>
        <w:rPr>
          <w:rFonts w:ascii="Arial" w:hAnsi="Arial" w:cs="Arial"/>
          <w:sz w:val="22"/>
          <w:szCs w:val="26"/>
        </w:rPr>
      </w:pPr>
      <w:r w:rsidRPr="0013601A">
        <w:rPr>
          <w:rFonts w:ascii="Arial" w:hAnsi="Arial" w:cs="Arial"/>
          <w:sz w:val="22"/>
          <w:szCs w:val="26"/>
        </w:rPr>
        <w:t>В пятёрку основных инвесторов также входит Австрия (9,3% в общем объёме поступлений иностранных инвестиций в 2011 году), Нидерланды (5,1%) и Дания (3,2%).  Эти же страны занимали лидирующие позиции и в прошлом году.</w:t>
      </w:r>
    </w:p>
    <w:p w:rsidR="003C492E" w:rsidRPr="0031672B" w:rsidRDefault="003C492E" w:rsidP="00DF6BAC">
      <w:pPr>
        <w:pStyle w:val="aa"/>
        <w:spacing w:line="240" w:lineRule="auto"/>
        <w:rPr>
          <w:rFonts w:cs="Arial"/>
          <w:sz w:val="22"/>
        </w:rPr>
      </w:pPr>
      <w:r>
        <w:rPr>
          <w:rFonts w:cs="Arial"/>
          <w:sz w:val="22"/>
        </w:rPr>
        <w:t>Уровень развития научно-технического потенциала определяет конкурентоспособность и устойчивое развитие области.</w:t>
      </w:r>
    </w:p>
    <w:p w:rsidR="008222DA" w:rsidRDefault="008222DA" w:rsidP="008222DA">
      <w:pPr>
        <w:ind w:right="-143" w:firstLine="709"/>
        <w:jc w:val="both"/>
        <w:rPr>
          <w:rFonts w:ascii="Arial" w:hAnsi="Arial" w:cs="Arial"/>
          <w:sz w:val="22"/>
        </w:rPr>
      </w:pPr>
      <w:r>
        <w:rPr>
          <w:rFonts w:ascii="Arial" w:hAnsi="Arial" w:cs="Arial"/>
          <w:sz w:val="22"/>
        </w:rPr>
        <w:t>Система подготовки кадров для сферы науки включает высшую школу и последипломную подготовку (обучение в аспирантуре и докторантуре). В области в настоящее время 5 высших учебных заведений ведут подготовку кадров высшей квалификации, 3 из них им</w:t>
      </w:r>
      <w:r>
        <w:rPr>
          <w:rFonts w:ascii="Arial" w:hAnsi="Arial" w:cs="Arial"/>
          <w:sz w:val="22"/>
        </w:rPr>
        <w:t>е</w:t>
      </w:r>
      <w:r>
        <w:rPr>
          <w:rFonts w:ascii="Arial" w:hAnsi="Arial" w:cs="Arial"/>
          <w:sz w:val="22"/>
        </w:rPr>
        <w:t>ют докторантуру. Численность обучающихся в аспирантуре на начало 2012 года составила 1078 человека (в 1990 году – 80 человек), в докторантуре – 27 человек. В 2011 году было выпущено 263 аспиранта (73 из них с защитой диссертации) и 9 докторантов.</w:t>
      </w:r>
    </w:p>
    <w:p w:rsidR="008222DA" w:rsidRDefault="008222DA" w:rsidP="008222DA">
      <w:pPr>
        <w:pStyle w:val="22"/>
        <w:spacing w:line="240" w:lineRule="auto"/>
        <w:rPr>
          <w:rFonts w:cs="Arial"/>
          <w:sz w:val="22"/>
        </w:rPr>
      </w:pPr>
      <w:r w:rsidRPr="002D6006">
        <w:rPr>
          <w:rFonts w:cs="Arial"/>
          <w:sz w:val="22"/>
        </w:rPr>
        <w:t>Основным элементом организационной структуры науки являются самостоятельные организации, выполняющие исследования и разработки, а также соответствующие подразделения ВУЗов,</w:t>
      </w:r>
      <w:r>
        <w:rPr>
          <w:rFonts w:cs="Arial"/>
          <w:sz w:val="22"/>
        </w:rPr>
        <w:t xml:space="preserve"> промышленных предприятий. В </w:t>
      </w:r>
      <w:r w:rsidRPr="006B7696">
        <w:rPr>
          <w:rFonts w:cs="Arial"/>
          <w:sz w:val="22"/>
        </w:rPr>
        <w:t>2011</w:t>
      </w:r>
      <w:r w:rsidRPr="002D6006">
        <w:rPr>
          <w:rFonts w:cs="Arial"/>
          <w:sz w:val="22"/>
        </w:rPr>
        <w:t xml:space="preserve"> году в области насчитывалось 2</w:t>
      </w:r>
      <w:r>
        <w:rPr>
          <w:rFonts w:cs="Arial"/>
          <w:sz w:val="22"/>
        </w:rPr>
        <w:t>1</w:t>
      </w:r>
      <w:r w:rsidRPr="002D6006">
        <w:rPr>
          <w:rFonts w:cs="Arial"/>
          <w:sz w:val="22"/>
        </w:rPr>
        <w:t xml:space="preserve"> т</w:t>
      </w:r>
      <w:r w:rsidRPr="002D6006">
        <w:rPr>
          <w:rFonts w:cs="Arial"/>
          <w:sz w:val="22"/>
        </w:rPr>
        <w:t>а</w:t>
      </w:r>
      <w:r w:rsidRPr="002D6006">
        <w:rPr>
          <w:rFonts w:cs="Arial"/>
          <w:sz w:val="22"/>
        </w:rPr>
        <w:t>к</w:t>
      </w:r>
      <w:r>
        <w:rPr>
          <w:rFonts w:cs="Arial"/>
          <w:sz w:val="22"/>
        </w:rPr>
        <w:t>ая</w:t>
      </w:r>
      <w:r w:rsidRPr="002D6006">
        <w:rPr>
          <w:rFonts w:cs="Arial"/>
          <w:sz w:val="22"/>
        </w:rPr>
        <w:t xml:space="preserve"> организаци</w:t>
      </w:r>
      <w:r>
        <w:rPr>
          <w:rFonts w:cs="Arial"/>
          <w:sz w:val="22"/>
        </w:rPr>
        <w:t>я (в 1990</w:t>
      </w:r>
      <w:r w:rsidRPr="002D6006">
        <w:rPr>
          <w:rFonts w:cs="Arial"/>
          <w:sz w:val="22"/>
        </w:rPr>
        <w:t xml:space="preserve"> году - 24 организации). </w:t>
      </w:r>
    </w:p>
    <w:p w:rsidR="008222DA" w:rsidRDefault="008222DA" w:rsidP="008222DA">
      <w:pPr>
        <w:pStyle w:val="22"/>
        <w:spacing w:line="240" w:lineRule="auto"/>
        <w:rPr>
          <w:rFonts w:cs="Arial"/>
          <w:sz w:val="22"/>
        </w:rPr>
      </w:pPr>
      <w:r w:rsidRPr="002D6006">
        <w:rPr>
          <w:rFonts w:cs="Arial"/>
          <w:sz w:val="22"/>
        </w:rPr>
        <w:t>В сложившихся условиях рыночной экономики отсутствие финансирования и разрыв взаимосвязей между предприятиями области привел к постепенному уменьшению размеров научных организаций. Так, численность работников, выполнявших научные исследования и разработ</w:t>
      </w:r>
      <w:r>
        <w:rPr>
          <w:rFonts w:cs="Arial"/>
          <w:sz w:val="22"/>
        </w:rPr>
        <w:t>ки, по сравнению с 1990</w:t>
      </w:r>
      <w:r w:rsidRPr="002D6006">
        <w:rPr>
          <w:rFonts w:cs="Arial"/>
          <w:sz w:val="22"/>
        </w:rPr>
        <w:t xml:space="preserve"> годом </w:t>
      </w:r>
      <w:r>
        <w:rPr>
          <w:rFonts w:cs="Arial"/>
          <w:sz w:val="22"/>
        </w:rPr>
        <w:t xml:space="preserve">сократилась </w:t>
      </w:r>
      <w:r w:rsidRPr="00023727">
        <w:rPr>
          <w:rFonts w:cs="Arial"/>
          <w:sz w:val="22"/>
        </w:rPr>
        <w:t xml:space="preserve">на </w:t>
      </w:r>
      <w:r>
        <w:rPr>
          <w:rFonts w:cs="Arial"/>
          <w:sz w:val="22"/>
        </w:rPr>
        <w:t>41,6</w:t>
      </w:r>
      <w:r w:rsidRPr="00023727">
        <w:rPr>
          <w:rFonts w:cs="Arial"/>
          <w:sz w:val="22"/>
        </w:rPr>
        <w:t>% и составила</w:t>
      </w:r>
      <w:r>
        <w:rPr>
          <w:rFonts w:cs="Arial"/>
          <w:sz w:val="22"/>
        </w:rPr>
        <w:t xml:space="preserve"> в 2011</w:t>
      </w:r>
      <w:r w:rsidRPr="002D6006">
        <w:rPr>
          <w:rFonts w:cs="Arial"/>
          <w:sz w:val="22"/>
        </w:rPr>
        <w:t xml:space="preserve"> году </w:t>
      </w:r>
      <w:r>
        <w:rPr>
          <w:rFonts w:cs="Arial"/>
          <w:sz w:val="22"/>
        </w:rPr>
        <w:t>6881</w:t>
      </w:r>
      <w:r w:rsidRPr="002D6006">
        <w:rPr>
          <w:rFonts w:cs="Arial"/>
          <w:sz w:val="22"/>
        </w:rPr>
        <w:t xml:space="preserve"> человек.</w:t>
      </w:r>
      <w:r>
        <w:rPr>
          <w:rFonts w:cs="Arial"/>
          <w:sz w:val="22"/>
        </w:rPr>
        <w:t xml:space="preserve"> Среди научных работников обл</w:t>
      </w:r>
      <w:r>
        <w:rPr>
          <w:rFonts w:cs="Arial"/>
          <w:sz w:val="22"/>
        </w:rPr>
        <w:t>а</w:t>
      </w:r>
      <w:r>
        <w:rPr>
          <w:rFonts w:cs="Arial"/>
          <w:sz w:val="22"/>
        </w:rPr>
        <w:t>сти в 2011 году было 40 доктора наук и 254 кандидата наук (в 1990 году – 13 докторов и 155 кандидатов наук).</w:t>
      </w:r>
    </w:p>
    <w:p w:rsidR="003C492E" w:rsidRDefault="008222DA" w:rsidP="00DF6BAC">
      <w:pPr>
        <w:pStyle w:val="aa"/>
        <w:spacing w:line="240" w:lineRule="auto"/>
        <w:rPr>
          <w:rFonts w:cs="Arial"/>
          <w:sz w:val="22"/>
        </w:rPr>
      </w:pPr>
      <w:r>
        <w:rPr>
          <w:rFonts w:cs="Arial"/>
          <w:sz w:val="22"/>
        </w:rPr>
        <w:t>Важной характеристикой уровня развития науки является показатель величины затрат на исследования и разработки. В  нашей области в 2011 году затраты на науку составили 8,5 млрд. рублей, из них 7,8 млрд. рублей – это внутренние затраты. В структуре вну</w:t>
      </w:r>
      <w:r>
        <w:rPr>
          <w:rFonts w:cs="Arial"/>
          <w:sz w:val="22"/>
        </w:rPr>
        <w:t>т</w:t>
      </w:r>
      <w:r>
        <w:rPr>
          <w:rFonts w:cs="Arial"/>
          <w:sz w:val="22"/>
        </w:rPr>
        <w:t>ренних затрат на научные исследования и разработки преобладают средства организаций предпринимательского сектора (56,6%). Сре</w:t>
      </w:r>
      <w:r>
        <w:rPr>
          <w:rFonts w:cs="Arial"/>
          <w:sz w:val="22"/>
        </w:rPr>
        <w:t>д</w:t>
      </w:r>
      <w:r>
        <w:rPr>
          <w:rFonts w:cs="Arial"/>
          <w:sz w:val="22"/>
        </w:rPr>
        <w:t>ства бюджетов всех уровней направленные на финансирование науки составили в 2010 году 29,1%, причем 99,2% от этих средств пост</w:t>
      </w:r>
      <w:r>
        <w:rPr>
          <w:rFonts w:cs="Arial"/>
          <w:sz w:val="22"/>
        </w:rPr>
        <w:t>у</w:t>
      </w:r>
      <w:r>
        <w:rPr>
          <w:rFonts w:cs="Arial"/>
          <w:sz w:val="22"/>
        </w:rPr>
        <w:t xml:space="preserve">пило из федерального бюджета. </w:t>
      </w:r>
    </w:p>
    <w:p w:rsidR="003C492E" w:rsidRDefault="003C492E" w:rsidP="00DF6BAC">
      <w:pPr>
        <w:pStyle w:val="7"/>
        <w:spacing w:line="240" w:lineRule="auto"/>
        <w:jc w:val="both"/>
        <w:rPr>
          <w:rFonts w:cs="Arial"/>
          <w:b w:val="0"/>
          <w:sz w:val="22"/>
        </w:rPr>
      </w:pPr>
      <w:r>
        <w:rPr>
          <w:rFonts w:cs="Arial"/>
          <w:b w:val="0"/>
          <w:sz w:val="22"/>
        </w:rPr>
        <w:t>В г</w:t>
      </w:r>
      <w:proofErr w:type="gramStart"/>
      <w:r>
        <w:rPr>
          <w:rFonts w:cs="Arial"/>
          <w:b w:val="0"/>
          <w:sz w:val="22"/>
        </w:rPr>
        <w:t>.Д</w:t>
      </w:r>
      <w:proofErr w:type="gramEnd"/>
      <w:r>
        <w:rPr>
          <w:rFonts w:cs="Arial"/>
          <w:b w:val="0"/>
          <w:sz w:val="22"/>
        </w:rPr>
        <w:t>имитровграде работает научно-исследовательский институт атомных реакторов. Это крупнейший в Европе научный центр и</w:t>
      </w:r>
      <w:r>
        <w:rPr>
          <w:rFonts w:cs="Arial"/>
          <w:b w:val="0"/>
          <w:sz w:val="22"/>
        </w:rPr>
        <w:t>с</w:t>
      </w:r>
      <w:r>
        <w:rPr>
          <w:rFonts w:cs="Arial"/>
          <w:b w:val="0"/>
          <w:sz w:val="22"/>
        </w:rPr>
        <w:t>следовательских работ в области ядерной технологии и различных проблем атомной энергетики.</w:t>
      </w:r>
    </w:p>
    <w:p w:rsidR="008222DA" w:rsidRPr="0019679D" w:rsidRDefault="008222DA" w:rsidP="008222DA">
      <w:pPr>
        <w:pStyle w:val="aa"/>
        <w:spacing w:line="240" w:lineRule="auto"/>
        <w:ind w:right="-142"/>
        <w:rPr>
          <w:rFonts w:cs="Arial"/>
          <w:sz w:val="22"/>
        </w:rPr>
      </w:pPr>
      <w:r>
        <w:rPr>
          <w:rFonts w:cs="Arial"/>
          <w:sz w:val="22"/>
        </w:rPr>
        <w:t>В области успешно внедряются современные информационные и коммуникационные технологии (ИКТ): персональные компьютеры, локальные и глобальные сети (включая сеть Интернет), электронная почта. Число компьютеризированных организаций в области ежего</w:t>
      </w:r>
      <w:r>
        <w:rPr>
          <w:rFonts w:cs="Arial"/>
          <w:sz w:val="22"/>
        </w:rPr>
        <w:t>д</w:t>
      </w:r>
      <w:r>
        <w:rPr>
          <w:rFonts w:cs="Arial"/>
          <w:sz w:val="22"/>
        </w:rPr>
        <w:t>но растет. Если в 2002 году из числа обследованных организаций</w:t>
      </w:r>
      <w:proofErr w:type="gramStart"/>
      <w:r>
        <w:rPr>
          <w:rFonts w:cs="Arial"/>
          <w:sz w:val="22"/>
          <w:vertAlign w:val="superscript"/>
        </w:rPr>
        <w:t>1</w:t>
      </w:r>
      <w:proofErr w:type="gramEnd"/>
      <w:r>
        <w:rPr>
          <w:rFonts w:cs="Arial"/>
          <w:sz w:val="22"/>
          <w:vertAlign w:val="superscript"/>
        </w:rPr>
        <w:t>)</w:t>
      </w:r>
      <w:r>
        <w:rPr>
          <w:rFonts w:cs="Arial"/>
          <w:sz w:val="22"/>
        </w:rPr>
        <w:t xml:space="preserve"> 39,6% не использовали персональные компьютеры, то в 2007 году т</w:t>
      </w:r>
      <w:r>
        <w:rPr>
          <w:rFonts w:cs="Arial"/>
          <w:sz w:val="22"/>
        </w:rPr>
        <w:t>а</w:t>
      </w:r>
      <w:r>
        <w:rPr>
          <w:rFonts w:cs="Arial"/>
          <w:sz w:val="22"/>
        </w:rPr>
        <w:t>ких организаций было 12,9%, в 2008 году – 11,5%,  в 2010 году – 9,4%, в 2011 году – 8,9,%.</w:t>
      </w:r>
    </w:p>
    <w:p w:rsidR="003C492E" w:rsidRDefault="003C492E" w:rsidP="00DF6BAC">
      <w:pPr>
        <w:ind w:firstLine="720"/>
        <w:jc w:val="both"/>
        <w:rPr>
          <w:rFonts w:ascii="Arial" w:hAnsi="Arial" w:cs="Arial"/>
          <w:sz w:val="22"/>
        </w:rPr>
      </w:pPr>
      <w:r>
        <w:rPr>
          <w:rFonts w:ascii="Arial" w:hAnsi="Arial" w:cs="Arial"/>
          <w:sz w:val="22"/>
        </w:rPr>
        <w:lastRenderedPageBreak/>
        <w:t>Процессы, происходящие в экономике и социальной жизни  Ульяновской области, обусловили ряд существенных изменений на транспорте.</w:t>
      </w:r>
    </w:p>
    <w:p w:rsidR="008222DA" w:rsidRDefault="008222DA" w:rsidP="008222DA">
      <w:pPr>
        <w:ind w:firstLine="720"/>
        <w:jc w:val="both"/>
        <w:rPr>
          <w:rFonts w:ascii="Arial" w:hAnsi="Arial" w:cs="Arial"/>
          <w:sz w:val="22"/>
        </w:rPr>
      </w:pPr>
      <w:r>
        <w:rPr>
          <w:rFonts w:ascii="Arial" w:hAnsi="Arial" w:cs="Arial"/>
          <w:sz w:val="22"/>
        </w:rPr>
        <w:t>С начала 1990-х годов наблюдался ежегодный спад объемов перевозок грузов всеми видами транспорта. В 2011 году предпри</w:t>
      </w:r>
      <w:r>
        <w:rPr>
          <w:rFonts w:ascii="Arial" w:hAnsi="Arial" w:cs="Arial"/>
          <w:sz w:val="22"/>
        </w:rPr>
        <w:t>я</w:t>
      </w:r>
      <w:r>
        <w:rPr>
          <w:rFonts w:ascii="Arial" w:hAnsi="Arial" w:cs="Arial"/>
          <w:sz w:val="22"/>
        </w:rPr>
        <w:t>тиями транспорта области перевезено грузов по сравнению с 1990 годом меньше в 4 раза, вместе с тем по сравнению с 2010 годом об</w:t>
      </w:r>
      <w:r>
        <w:rPr>
          <w:rFonts w:ascii="Arial" w:hAnsi="Arial" w:cs="Arial"/>
          <w:sz w:val="22"/>
        </w:rPr>
        <w:t>ъ</w:t>
      </w:r>
      <w:r>
        <w:rPr>
          <w:rFonts w:ascii="Arial" w:hAnsi="Arial" w:cs="Arial"/>
          <w:sz w:val="22"/>
        </w:rPr>
        <w:t>ем перевозок грузов увеличился на 15,4%.</w:t>
      </w:r>
    </w:p>
    <w:p w:rsidR="002673CA" w:rsidRDefault="002673CA" w:rsidP="002673CA">
      <w:pPr>
        <w:ind w:firstLine="720"/>
        <w:jc w:val="both"/>
        <w:rPr>
          <w:rFonts w:ascii="Arial" w:hAnsi="Arial" w:cs="Arial"/>
          <w:sz w:val="22"/>
        </w:rPr>
      </w:pPr>
      <w:r>
        <w:rPr>
          <w:rFonts w:ascii="Arial" w:hAnsi="Arial" w:cs="Arial"/>
          <w:sz w:val="22"/>
        </w:rPr>
        <w:t>С момента образования Ульяновской области основную роль в перевозках пассажиров играл автомобильный транспорт. За пер</w:t>
      </w:r>
      <w:r>
        <w:rPr>
          <w:rFonts w:ascii="Arial" w:hAnsi="Arial" w:cs="Arial"/>
          <w:sz w:val="22"/>
        </w:rPr>
        <w:t>и</w:t>
      </w:r>
      <w:r>
        <w:rPr>
          <w:rFonts w:ascii="Arial" w:hAnsi="Arial" w:cs="Arial"/>
          <w:sz w:val="22"/>
        </w:rPr>
        <w:t>од с 1950 по 1988 годы объем перевозок пассажиров автомобильным транспортом общего пользования возрос более чем в 50 раз. О</w:t>
      </w:r>
      <w:r>
        <w:rPr>
          <w:rFonts w:ascii="Arial" w:hAnsi="Arial" w:cs="Arial"/>
          <w:sz w:val="22"/>
        </w:rPr>
        <w:t>д</w:t>
      </w:r>
      <w:r>
        <w:rPr>
          <w:rFonts w:ascii="Arial" w:hAnsi="Arial" w:cs="Arial"/>
          <w:sz w:val="22"/>
        </w:rPr>
        <w:t xml:space="preserve">нако, начиная с 1988 года, автобусный парк предприятий транспорта ежегодно сокращается и изнашивается. В 2011 году по сравнению с 1990 годом число эксплуатационных автобусов, находящихся в собственности организаций автомобильного транспорта, уменьшилось в 3,7 раза, а автобусные перевозки сократились более чем в 10 раз. </w:t>
      </w:r>
    </w:p>
    <w:p w:rsidR="002673CA" w:rsidRDefault="002673CA" w:rsidP="002673CA">
      <w:pPr>
        <w:ind w:firstLine="720"/>
        <w:jc w:val="both"/>
        <w:rPr>
          <w:rFonts w:ascii="Arial" w:hAnsi="Arial" w:cs="Arial"/>
          <w:sz w:val="22"/>
        </w:rPr>
      </w:pPr>
      <w:r>
        <w:rPr>
          <w:rFonts w:ascii="Arial" w:hAnsi="Arial" w:cs="Arial"/>
          <w:sz w:val="22"/>
        </w:rPr>
        <w:t>В то же время быстрыми темпами шло развитие пассажирских перевозок, осуществляемых автотранспортом физических лиц (владельцев автобусов). Их доля в общем объеме автобусных перевозок увеличилась с 9,9% в 2000 году, до 78,7% в 2011 году.</w:t>
      </w:r>
    </w:p>
    <w:p w:rsidR="002673CA" w:rsidRDefault="002673CA" w:rsidP="002673CA">
      <w:pPr>
        <w:ind w:firstLine="720"/>
        <w:jc w:val="both"/>
        <w:rPr>
          <w:rFonts w:ascii="Arial" w:hAnsi="Arial" w:cs="Arial"/>
          <w:sz w:val="22"/>
        </w:rPr>
      </w:pPr>
      <w:r>
        <w:rPr>
          <w:rFonts w:ascii="Arial" w:hAnsi="Arial" w:cs="Arial"/>
          <w:sz w:val="22"/>
        </w:rPr>
        <w:t>Значительная доля внутригородских пассажирских перевозок приходится на трамвайный транспорт.</w:t>
      </w:r>
      <w:r w:rsidR="00406629">
        <w:rPr>
          <w:rFonts w:ascii="Arial" w:hAnsi="Arial" w:cs="Arial"/>
          <w:sz w:val="22"/>
        </w:rPr>
        <w:t xml:space="preserve"> </w:t>
      </w:r>
      <w:r>
        <w:rPr>
          <w:rFonts w:ascii="Arial" w:hAnsi="Arial" w:cs="Arial"/>
          <w:sz w:val="22"/>
        </w:rPr>
        <w:t>С начала пуска в эксплуат</w:t>
      </w:r>
      <w:r>
        <w:rPr>
          <w:rFonts w:ascii="Arial" w:hAnsi="Arial" w:cs="Arial"/>
          <w:sz w:val="22"/>
        </w:rPr>
        <w:t>а</w:t>
      </w:r>
      <w:r>
        <w:rPr>
          <w:rFonts w:ascii="Arial" w:hAnsi="Arial" w:cs="Arial"/>
          <w:sz w:val="22"/>
        </w:rPr>
        <w:t>цию трамваев (в 1954 году) протяженность развернутого трамвайного пути увеличилась в 9 раз, число пассажирских вагонов – в 35,7 р</w:t>
      </w:r>
      <w:r>
        <w:rPr>
          <w:rFonts w:ascii="Arial" w:hAnsi="Arial" w:cs="Arial"/>
          <w:sz w:val="22"/>
        </w:rPr>
        <w:t>а</w:t>
      </w:r>
      <w:r>
        <w:rPr>
          <w:rFonts w:ascii="Arial" w:hAnsi="Arial" w:cs="Arial"/>
          <w:sz w:val="22"/>
        </w:rPr>
        <w:t xml:space="preserve">за. </w:t>
      </w:r>
    </w:p>
    <w:p w:rsidR="003C492E" w:rsidRDefault="002673CA" w:rsidP="002673CA">
      <w:pPr>
        <w:ind w:firstLine="720"/>
        <w:jc w:val="both"/>
        <w:rPr>
          <w:rFonts w:cs="Arial"/>
        </w:rPr>
      </w:pPr>
      <w:r>
        <w:rPr>
          <w:rFonts w:ascii="Arial" w:hAnsi="Arial" w:cs="Arial"/>
          <w:sz w:val="22"/>
        </w:rPr>
        <w:t xml:space="preserve">Протяженность троллейбусных линий увеличилась за годы своего существования (с 1973 года) в 4,2 раза, число троллейбусов  –  в 4,4 раза. </w:t>
      </w:r>
      <w:r w:rsidR="003C492E" w:rsidRPr="00540677">
        <w:rPr>
          <w:rFonts w:cs="Arial"/>
          <w:sz w:val="22"/>
          <w:szCs w:val="22"/>
        </w:rPr>
        <w:t>В собственности индивидуальных владельцев находится более 286 тыс. автомобилей</w:t>
      </w:r>
      <w:r w:rsidR="003C492E">
        <w:rPr>
          <w:rFonts w:cs="Arial"/>
        </w:rPr>
        <w:t>.</w:t>
      </w:r>
    </w:p>
    <w:p w:rsidR="003C492E" w:rsidRDefault="003C492E" w:rsidP="003C492E">
      <w:pPr>
        <w:ind w:firstLine="720"/>
        <w:jc w:val="both"/>
        <w:rPr>
          <w:rFonts w:ascii="Arial" w:hAnsi="Arial" w:cs="Arial"/>
          <w:sz w:val="22"/>
        </w:rPr>
      </w:pPr>
      <w:r w:rsidRPr="00973A21">
        <w:rPr>
          <w:rFonts w:ascii="Arial" w:hAnsi="Arial" w:cs="Arial"/>
          <w:sz w:val="22"/>
        </w:rPr>
        <w:t>Связь</w:t>
      </w:r>
      <w:r>
        <w:rPr>
          <w:rFonts w:ascii="Arial" w:hAnsi="Arial" w:cs="Arial"/>
          <w:sz w:val="22"/>
        </w:rPr>
        <w:t xml:space="preserve"> – наиболее динамично развивающийся сектор экономики.</w:t>
      </w:r>
    </w:p>
    <w:p w:rsidR="002673CA" w:rsidRDefault="002673CA" w:rsidP="002673CA">
      <w:pPr>
        <w:ind w:firstLine="720"/>
        <w:jc w:val="both"/>
        <w:rPr>
          <w:rFonts w:ascii="Arial" w:hAnsi="Arial" w:cs="Arial"/>
          <w:sz w:val="22"/>
        </w:rPr>
      </w:pPr>
      <w:r>
        <w:rPr>
          <w:rFonts w:ascii="Arial" w:hAnsi="Arial" w:cs="Arial"/>
          <w:sz w:val="22"/>
        </w:rPr>
        <w:t>В настоящее время в области действует более 524 телефонных станции с емкостью 574,1 тыс. номеров. По сравнению с 1965 г</w:t>
      </w:r>
      <w:r>
        <w:rPr>
          <w:rFonts w:ascii="Arial" w:hAnsi="Arial" w:cs="Arial"/>
          <w:sz w:val="22"/>
        </w:rPr>
        <w:t>о</w:t>
      </w:r>
      <w:r>
        <w:rPr>
          <w:rFonts w:ascii="Arial" w:hAnsi="Arial" w:cs="Arial"/>
          <w:sz w:val="22"/>
        </w:rPr>
        <w:t xml:space="preserve">дом число телефонных станций увеличилось  в 2,4 раза. </w:t>
      </w:r>
    </w:p>
    <w:p w:rsidR="003C492E" w:rsidRDefault="002673CA" w:rsidP="002673CA">
      <w:pPr>
        <w:pStyle w:val="22"/>
        <w:spacing w:line="240" w:lineRule="auto"/>
        <w:rPr>
          <w:rFonts w:cs="Arial"/>
          <w:sz w:val="22"/>
        </w:rPr>
      </w:pPr>
      <w:r>
        <w:rPr>
          <w:rFonts w:cs="Arial"/>
          <w:sz w:val="22"/>
        </w:rPr>
        <w:t>На начало 2012 года в области насчитывалось более 387,5 тыс. телефонных аппаратов (включая таксофоны), подсоединенных к телефонной сети общего пользования или имеющих на нее выход. По сравнению с 1945 годом число аппаратов увеличилось в 92,3 раза.</w:t>
      </w:r>
    </w:p>
    <w:p w:rsidR="002673CA" w:rsidRPr="003B6A97" w:rsidRDefault="002673CA" w:rsidP="002673CA">
      <w:pPr>
        <w:ind w:firstLine="720"/>
        <w:jc w:val="both"/>
        <w:rPr>
          <w:rFonts w:ascii="Arial" w:hAnsi="Arial" w:cs="Arial"/>
          <w:sz w:val="22"/>
        </w:rPr>
      </w:pPr>
      <w:r>
        <w:rPr>
          <w:rFonts w:ascii="Arial" w:hAnsi="Arial" w:cs="Arial"/>
          <w:sz w:val="22"/>
        </w:rPr>
        <w:t>Все более распространенной и востребованной на рынке услуг связи становится сотовая связь, которая предоставляет широкий спектр дополнительных услуг. Число абонентов сотовой связи составило на начало 2012 года 2114,9 тысячи (в 2000 году было 6,2 тыс</w:t>
      </w:r>
      <w:r>
        <w:rPr>
          <w:rFonts w:ascii="Arial" w:hAnsi="Arial" w:cs="Arial"/>
          <w:sz w:val="22"/>
        </w:rPr>
        <w:t>я</w:t>
      </w:r>
      <w:r>
        <w:rPr>
          <w:rFonts w:ascii="Arial" w:hAnsi="Arial" w:cs="Arial"/>
          <w:sz w:val="22"/>
        </w:rPr>
        <w:t>чи). Количество абонентов сотовой связи в 5,5 раза превысило число абонентов, имеющих стационарные телефоны. На 1000 человек населения области в 2011 году приходилось 1649,6 подключенных терминала сотовой связи (это 8-е место среди регионов ПФО).</w:t>
      </w:r>
    </w:p>
    <w:p w:rsidR="003C492E" w:rsidRPr="004070E3" w:rsidRDefault="003C492E" w:rsidP="003C492E">
      <w:pPr>
        <w:pStyle w:val="21"/>
        <w:spacing w:line="240" w:lineRule="auto"/>
        <w:ind w:firstLine="720"/>
        <w:jc w:val="both"/>
        <w:rPr>
          <w:rFonts w:cs="Arial"/>
          <w:sz w:val="22"/>
          <w:szCs w:val="22"/>
        </w:rPr>
      </w:pPr>
      <w:r w:rsidRPr="00DA2AF2">
        <w:rPr>
          <w:rFonts w:cs="Arial"/>
          <w:sz w:val="22"/>
          <w:szCs w:val="22"/>
        </w:rPr>
        <w:t>В области большое внимание уделяется возрождению историко-культурного наследия и поддержке традиционной народной кул</w:t>
      </w:r>
      <w:r w:rsidRPr="00DA2AF2">
        <w:rPr>
          <w:rFonts w:cs="Arial"/>
          <w:sz w:val="22"/>
          <w:szCs w:val="22"/>
        </w:rPr>
        <w:t>ь</w:t>
      </w:r>
      <w:r w:rsidRPr="00DA2AF2">
        <w:rPr>
          <w:rFonts w:cs="Arial"/>
          <w:sz w:val="22"/>
          <w:szCs w:val="22"/>
        </w:rPr>
        <w:t xml:space="preserve">туры. </w:t>
      </w:r>
      <w:r w:rsidRPr="00DA2AF2">
        <w:rPr>
          <w:rFonts w:cs="Arial"/>
          <w:sz w:val="22"/>
        </w:rPr>
        <w:t xml:space="preserve">Деятельность учреждений культуры в области направлена на выполнение целевых  культурных программ по сохранению  </w:t>
      </w:r>
      <w:r w:rsidRPr="004070E3">
        <w:rPr>
          <w:rFonts w:cs="Arial"/>
          <w:sz w:val="22"/>
          <w:szCs w:val="22"/>
        </w:rPr>
        <w:t>и разв</w:t>
      </w:r>
      <w:r w:rsidRPr="004070E3">
        <w:rPr>
          <w:rFonts w:cs="Arial"/>
          <w:sz w:val="22"/>
          <w:szCs w:val="22"/>
        </w:rPr>
        <w:t>и</w:t>
      </w:r>
      <w:r w:rsidRPr="004070E3">
        <w:rPr>
          <w:rFonts w:cs="Arial"/>
          <w:sz w:val="22"/>
          <w:szCs w:val="22"/>
        </w:rPr>
        <w:t>тию народного творчества, национальных культур, традиций и обычаев.</w:t>
      </w:r>
    </w:p>
    <w:p w:rsidR="003C492E" w:rsidRPr="00DA2AF2" w:rsidRDefault="003C492E" w:rsidP="003C492E">
      <w:pPr>
        <w:pStyle w:val="22"/>
        <w:spacing w:line="240" w:lineRule="auto"/>
        <w:rPr>
          <w:rFonts w:cs="Arial"/>
          <w:sz w:val="22"/>
          <w:szCs w:val="22"/>
        </w:rPr>
      </w:pPr>
      <w:r w:rsidRPr="004070E3">
        <w:rPr>
          <w:sz w:val="22"/>
          <w:szCs w:val="22"/>
        </w:rPr>
        <w:t>Сегодня культура рассматривается как особый ресурс развития области, как важный механизм формирования конкурентоспосо</w:t>
      </w:r>
      <w:r w:rsidRPr="004070E3">
        <w:rPr>
          <w:sz w:val="22"/>
          <w:szCs w:val="22"/>
        </w:rPr>
        <w:t>б</w:t>
      </w:r>
      <w:r w:rsidRPr="004070E3">
        <w:rPr>
          <w:sz w:val="22"/>
          <w:szCs w:val="22"/>
        </w:rPr>
        <w:t>ности – это, прежде всего, музеи,</w:t>
      </w:r>
      <w:r w:rsidRPr="00DA2AF2">
        <w:rPr>
          <w:sz w:val="22"/>
          <w:szCs w:val="22"/>
        </w:rPr>
        <w:t xml:space="preserve"> филармония, библиотеки, школы искусств, драматические театры, театр юного зрителя и кукольный театр, Дома и Дворцы культуры, </w:t>
      </w:r>
      <w:proofErr w:type="spellStart"/>
      <w:r w:rsidRPr="00DA2AF2">
        <w:rPr>
          <w:sz w:val="22"/>
          <w:szCs w:val="22"/>
        </w:rPr>
        <w:t>киновидеоцентры</w:t>
      </w:r>
      <w:proofErr w:type="spellEnd"/>
      <w:r w:rsidRPr="00DA2AF2">
        <w:rPr>
          <w:sz w:val="22"/>
          <w:szCs w:val="22"/>
        </w:rPr>
        <w:t>, парки культуры и отдыха, скверы.  В области активно отмечаются традиционные и национальные праздники, дни национальной культуры, проводятся выставки, фотовыставки, конкурсы, форумы, фести</w:t>
      </w:r>
      <w:r>
        <w:rPr>
          <w:sz w:val="22"/>
          <w:szCs w:val="22"/>
        </w:rPr>
        <w:t>вали,</w:t>
      </w:r>
      <w:r w:rsidRPr="00DA2AF2">
        <w:rPr>
          <w:sz w:val="22"/>
          <w:szCs w:val="22"/>
        </w:rPr>
        <w:t xml:space="preserve"> встречи с работника</w:t>
      </w:r>
      <w:r>
        <w:rPr>
          <w:sz w:val="22"/>
          <w:szCs w:val="22"/>
        </w:rPr>
        <w:t>ми культуры.</w:t>
      </w:r>
      <w:r w:rsidRPr="00DA2AF2">
        <w:rPr>
          <w:sz w:val="22"/>
          <w:szCs w:val="22"/>
        </w:rPr>
        <w:t xml:space="preserve"> Ульяновская область участвует в </w:t>
      </w:r>
      <w:proofErr w:type="gramStart"/>
      <w:r w:rsidRPr="00DA2AF2">
        <w:rPr>
          <w:sz w:val="22"/>
          <w:szCs w:val="22"/>
        </w:rPr>
        <w:t>п</w:t>
      </w:r>
      <w:proofErr w:type="gramEnd"/>
      <w:r w:rsidR="007F3D68">
        <w:fldChar w:fldCharType="begin"/>
      </w:r>
      <w:r w:rsidR="007F3D68">
        <w:instrText>HYPERLINK "http://ulgov.ru/society/информация-о-культурных-мероприятиях/культурная-столица.html"</w:instrText>
      </w:r>
      <w:r w:rsidR="007F3D68">
        <w:fldChar w:fldCharType="separate"/>
      </w:r>
      <w:r w:rsidRPr="00DA2AF2">
        <w:rPr>
          <w:sz w:val="22"/>
          <w:szCs w:val="22"/>
        </w:rPr>
        <w:t>роведении Всероссийского конкурса культурных проектов «Современная кул</w:t>
      </w:r>
      <w:r w:rsidRPr="00DA2AF2">
        <w:rPr>
          <w:sz w:val="22"/>
          <w:szCs w:val="22"/>
        </w:rPr>
        <w:t>ь</w:t>
      </w:r>
      <w:r w:rsidRPr="00DA2AF2">
        <w:rPr>
          <w:sz w:val="22"/>
          <w:szCs w:val="22"/>
        </w:rPr>
        <w:t>тура России на территории Ульяновской области»</w:t>
      </w:r>
      <w:r w:rsidR="007F3D68">
        <w:fldChar w:fldCharType="end"/>
      </w:r>
      <w:r>
        <w:rPr>
          <w:sz w:val="22"/>
          <w:szCs w:val="22"/>
        </w:rPr>
        <w:t>.</w:t>
      </w:r>
    </w:p>
    <w:p w:rsidR="003B2814" w:rsidRDefault="003B2814" w:rsidP="003B2814">
      <w:pPr>
        <w:pStyle w:val="21"/>
        <w:spacing w:line="240" w:lineRule="auto"/>
        <w:ind w:firstLine="709"/>
        <w:jc w:val="both"/>
        <w:rPr>
          <w:rFonts w:cs="Arial"/>
          <w:sz w:val="22"/>
        </w:rPr>
      </w:pPr>
      <w:r>
        <w:rPr>
          <w:rFonts w:cs="Arial"/>
          <w:sz w:val="22"/>
        </w:rPr>
        <w:t>В настоящее время в Российской Федерации осуществляются мероприятия по реформированию образования. Законом от 10 а</w:t>
      </w:r>
      <w:r>
        <w:rPr>
          <w:rFonts w:cs="Arial"/>
          <w:sz w:val="22"/>
        </w:rPr>
        <w:t>п</w:t>
      </w:r>
      <w:r>
        <w:rPr>
          <w:rFonts w:cs="Arial"/>
          <w:sz w:val="22"/>
        </w:rPr>
        <w:t>реля 2000 года №51-ФЗ утверждена программа развития образования, которая определяет стратегию приоритетного развития системы образования и меры по ее реализации.</w:t>
      </w:r>
    </w:p>
    <w:p w:rsidR="003B2814" w:rsidRDefault="003B2814" w:rsidP="003B2814">
      <w:pPr>
        <w:pStyle w:val="21"/>
        <w:spacing w:line="240" w:lineRule="auto"/>
        <w:ind w:firstLine="709"/>
        <w:jc w:val="both"/>
        <w:rPr>
          <w:rFonts w:cs="Arial"/>
          <w:sz w:val="22"/>
        </w:rPr>
      </w:pPr>
      <w:r>
        <w:rPr>
          <w:rFonts w:cs="Arial"/>
          <w:sz w:val="22"/>
        </w:rPr>
        <w:lastRenderedPageBreak/>
        <w:t>Ежегодно расширяется число инновационных образовательных учреждений. В 2011/12 учебном году образовательную деятел</w:t>
      </w:r>
      <w:r>
        <w:rPr>
          <w:rFonts w:cs="Arial"/>
          <w:sz w:val="22"/>
        </w:rPr>
        <w:t>ь</w:t>
      </w:r>
      <w:r>
        <w:rPr>
          <w:rFonts w:cs="Arial"/>
          <w:sz w:val="22"/>
        </w:rPr>
        <w:t>ность осуществляли 13 гимназий с численностью учащихся  10,5 тыс., 15 лицеев, в которых обучаются 10,8 тыс. учащихся, 2 общеобр</w:t>
      </w:r>
      <w:r>
        <w:rPr>
          <w:rFonts w:cs="Arial"/>
          <w:sz w:val="22"/>
        </w:rPr>
        <w:t>а</w:t>
      </w:r>
      <w:r>
        <w:rPr>
          <w:rFonts w:cs="Arial"/>
          <w:sz w:val="22"/>
        </w:rPr>
        <w:t>зовательные школы с углубленным изучением отдельных предметов (1,9 тыс. учащихся)</w:t>
      </w:r>
    </w:p>
    <w:p w:rsidR="003B2814" w:rsidRDefault="003B2814" w:rsidP="003B2814">
      <w:pPr>
        <w:pStyle w:val="21"/>
        <w:spacing w:line="240" w:lineRule="auto"/>
        <w:ind w:firstLine="709"/>
        <w:jc w:val="both"/>
        <w:rPr>
          <w:rFonts w:cs="Arial"/>
          <w:sz w:val="22"/>
        </w:rPr>
      </w:pPr>
      <w:r>
        <w:rPr>
          <w:rFonts w:cs="Arial"/>
          <w:sz w:val="22"/>
        </w:rPr>
        <w:t>В настоящее время в Ульяновской области имеется пять самостоятельных высших учебных заведений и 12 филиалов ВУЗов (включая негосударственные). В них обучается 53,8 тыс. студентов, из которых 25,0 тыс. обучаются на очной форме обучения.</w:t>
      </w:r>
    </w:p>
    <w:p w:rsidR="003B2814" w:rsidRDefault="003B2814" w:rsidP="003B2814">
      <w:pPr>
        <w:pStyle w:val="21"/>
        <w:spacing w:line="240" w:lineRule="auto"/>
        <w:ind w:firstLine="709"/>
        <w:jc w:val="both"/>
        <w:rPr>
          <w:rFonts w:cs="Arial"/>
          <w:sz w:val="22"/>
        </w:rPr>
      </w:pPr>
      <w:r>
        <w:rPr>
          <w:rFonts w:cs="Arial"/>
          <w:sz w:val="22"/>
        </w:rPr>
        <w:t>Ежегодный выпуск специалистов из высших учебных заведений постоянно увеличивается. В 2011 году выпуск специалистов с</w:t>
      </w:r>
      <w:r>
        <w:rPr>
          <w:rFonts w:cs="Arial"/>
          <w:sz w:val="22"/>
        </w:rPr>
        <w:t>о</w:t>
      </w:r>
      <w:r>
        <w:rPr>
          <w:rFonts w:cs="Arial"/>
          <w:sz w:val="22"/>
        </w:rPr>
        <w:t>ставил 10,3 тысяч человек.</w:t>
      </w:r>
    </w:p>
    <w:p w:rsidR="003B2814" w:rsidRPr="00685350" w:rsidRDefault="003B2814" w:rsidP="003B2814">
      <w:pPr>
        <w:pStyle w:val="21"/>
        <w:spacing w:line="240" w:lineRule="auto"/>
        <w:ind w:firstLine="709"/>
        <w:jc w:val="both"/>
        <w:rPr>
          <w:rFonts w:cs="Arial"/>
          <w:sz w:val="22"/>
        </w:rPr>
      </w:pPr>
      <w:r w:rsidRPr="00685350">
        <w:rPr>
          <w:rFonts w:cs="Arial"/>
          <w:sz w:val="22"/>
        </w:rPr>
        <w:t xml:space="preserve">За последние годы  средние специальные учебные заведения выпускают ежегодно свыше </w:t>
      </w:r>
      <w:r>
        <w:rPr>
          <w:rFonts w:cs="Arial"/>
          <w:sz w:val="22"/>
        </w:rPr>
        <w:t>6</w:t>
      </w:r>
      <w:r w:rsidRPr="00685350">
        <w:rPr>
          <w:rFonts w:cs="Arial"/>
          <w:sz w:val="22"/>
        </w:rPr>
        <w:t xml:space="preserve"> тыс. специалистов для различных о</w:t>
      </w:r>
      <w:r w:rsidRPr="00685350">
        <w:rPr>
          <w:rFonts w:cs="Arial"/>
          <w:sz w:val="22"/>
        </w:rPr>
        <w:t>т</w:t>
      </w:r>
      <w:r w:rsidRPr="00685350">
        <w:rPr>
          <w:rFonts w:cs="Arial"/>
          <w:sz w:val="22"/>
        </w:rPr>
        <w:t>раслей экономики. В 201</w:t>
      </w:r>
      <w:r>
        <w:rPr>
          <w:rFonts w:cs="Arial"/>
          <w:sz w:val="22"/>
        </w:rPr>
        <w:t>1</w:t>
      </w:r>
      <w:r w:rsidRPr="00685350">
        <w:rPr>
          <w:rFonts w:cs="Arial"/>
          <w:sz w:val="22"/>
        </w:rPr>
        <w:t xml:space="preserve"> году выпуск специалистов составил </w:t>
      </w:r>
      <w:r>
        <w:rPr>
          <w:rFonts w:cs="Arial"/>
          <w:sz w:val="22"/>
        </w:rPr>
        <w:t>6049</w:t>
      </w:r>
      <w:r w:rsidRPr="00685350">
        <w:rPr>
          <w:rFonts w:cs="Arial"/>
          <w:sz w:val="22"/>
        </w:rPr>
        <w:t xml:space="preserve"> человек.</w:t>
      </w:r>
    </w:p>
    <w:p w:rsidR="003B2814" w:rsidRDefault="003B2814" w:rsidP="003B2814">
      <w:pPr>
        <w:pStyle w:val="21"/>
        <w:spacing w:line="240" w:lineRule="auto"/>
        <w:ind w:firstLine="709"/>
        <w:jc w:val="both"/>
        <w:rPr>
          <w:rFonts w:cs="Arial"/>
          <w:sz w:val="22"/>
        </w:rPr>
      </w:pPr>
      <w:r w:rsidRPr="00E75D5C">
        <w:rPr>
          <w:rFonts w:cs="Arial"/>
          <w:sz w:val="22"/>
        </w:rPr>
        <w:t xml:space="preserve">В области достаточно большое значение имеет  начальное профессиональное образование. </w:t>
      </w:r>
    </w:p>
    <w:p w:rsidR="003B2814" w:rsidRDefault="003B2814" w:rsidP="003B2814">
      <w:pPr>
        <w:pStyle w:val="21"/>
        <w:spacing w:line="240" w:lineRule="auto"/>
        <w:ind w:firstLine="709"/>
        <w:jc w:val="both"/>
        <w:rPr>
          <w:rFonts w:cs="Arial"/>
          <w:sz w:val="22"/>
        </w:rPr>
      </w:pPr>
      <w:r w:rsidRPr="003B2814">
        <w:rPr>
          <w:rFonts w:cs="Arial"/>
          <w:sz w:val="22"/>
        </w:rPr>
        <w:t>События, происходящие в экономике и социальной жизни России и Ульяновской области, сказались и на дошкольных образов</w:t>
      </w:r>
      <w:r w:rsidRPr="003B2814">
        <w:rPr>
          <w:rFonts w:cs="Arial"/>
          <w:sz w:val="22"/>
        </w:rPr>
        <w:t>а</w:t>
      </w:r>
      <w:r w:rsidRPr="003B2814">
        <w:rPr>
          <w:rFonts w:cs="Arial"/>
          <w:sz w:val="22"/>
        </w:rPr>
        <w:t xml:space="preserve">тельных учреждениях. На начало 2012 года в области  работало 382 дошкольных учреждения, в которых воспитывалось 44,2 тыс. детей. По сравнению с 2000г. численность </w:t>
      </w:r>
      <w:proofErr w:type="gramStart"/>
      <w:r w:rsidRPr="003B2814">
        <w:rPr>
          <w:rFonts w:cs="Arial"/>
          <w:sz w:val="22"/>
        </w:rPr>
        <w:t>детей, посещающих детские сады возросла</w:t>
      </w:r>
      <w:proofErr w:type="gramEnd"/>
      <w:r w:rsidRPr="003B2814">
        <w:rPr>
          <w:rFonts w:cs="Arial"/>
          <w:sz w:val="22"/>
        </w:rPr>
        <w:t xml:space="preserve"> на 22,1%. </w:t>
      </w:r>
    </w:p>
    <w:p w:rsidR="003B2814" w:rsidRDefault="003B2814" w:rsidP="003C492E">
      <w:pPr>
        <w:ind w:firstLine="709"/>
        <w:jc w:val="both"/>
        <w:rPr>
          <w:rFonts w:ascii="Arial" w:hAnsi="Arial" w:cs="Arial"/>
          <w:sz w:val="22"/>
        </w:rPr>
      </w:pPr>
      <w:r>
        <w:rPr>
          <w:rFonts w:ascii="Arial" w:hAnsi="Arial" w:cs="Arial"/>
          <w:sz w:val="22"/>
        </w:rPr>
        <w:t xml:space="preserve">В жилищной сфере области, </w:t>
      </w:r>
      <w:proofErr w:type="gramStart"/>
      <w:r>
        <w:rPr>
          <w:rFonts w:ascii="Arial" w:hAnsi="Arial" w:cs="Arial"/>
          <w:sz w:val="22"/>
        </w:rPr>
        <w:t>начиная с 1989 года продолжается процесс приватизации</w:t>
      </w:r>
      <w:proofErr w:type="gramEnd"/>
      <w:r>
        <w:rPr>
          <w:rFonts w:ascii="Arial" w:hAnsi="Arial" w:cs="Arial"/>
          <w:sz w:val="22"/>
        </w:rPr>
        <w:t xml:space="preserve"> жилья. В настоящее время приватизация жилых помещений осуществляется во всех районах области. К началу 2012 года население области приватизировало 246,4 тыс. квартир, что составляет </w:t>
      </w:r>
      <w:r w:rsidRPr="00745E11">
        <w:rPr>
          <w:rFonts w:ascii="Arial" w:hAnsi="Arial" w:cs="Arial"/>
          <w:sz w:val="22"/>
        </w:rPr>
        <w:t>76,0</w:t>
      </w:r>
      <w:r>
        <w:rPr>
          <w:rFonts w:ascii="Arial" w:hAnsi="Arial" w:cs="Arial"/>
          <w:sz w:val="22"/>
        </w:rPr>
        <w:t>% от числа квартир, подлежащих приватизации. Следует отметить, что пик приватизации жилья пришелся на 1993 год (25,1 тыс. квартир).</w:t>
      </w:r>
    </w:p>
    <w:p w:rsidR="003B2814" w:rsidRPr="000427DC" w:rsidRDefault="003B2814" w:rsidP="003B2814">
      <w:pPr>
        <w:ind w:firstLine="709"/>
        <w:jc w:val="both"/>
        <w:rPr>
          <w:rFonts w:ascii="Arial" w:hAnsi="Arial" w:cs="Arial"/>
          <w:color w:val="FF0000"/>
          <w:sz w:val="22"/>
        </w:rPr>
      </w:pPr>
      <w:r>
        <w:rPr>
          <w:rFonts w:ascii="Arial" w:hAnsi="Arial" w:cs="Arial"/>
          <w:sz w:val="22"/>
        </w:rPr>
        <w:t xml:space="preserve">На начало 2012 года жилищный фонд Ульяновской области составил 30,3 млн. кв. метров общей площади жилья и увеличился по сравнению с 1970 годом в </w:t>
      </w:r>
      <w:r w:rsidRPr="002267F3">
        <w:rPr>
          <w:rFonts w:ascii="Arial" w:hAnsi="Arial" w:cs="Arial"/>
          <w:sz w:val="22"/>
        </w:rPr>
        <w:t>4,8</w:t>
      </w:r>
      <w:r>
        <w:rPr>
          <w:rFonts w:ascii="Arial" w:hAnsi="Arial" w:cs="Arial"/>
          <w:sz w:val="22"/>
        </w:rPr>
        <w:t xml:space="preserve"> раза. В городской местности расположено 71,5 % всего жилищного фонда. В 2011 году по сравнению с 1990 годом в городской местности жилищный фонд увеличился </w:t>
      </w:r>
      <w:r w:rsidRPr="002267F3">
        <w:rPr>
          <w:rFonts w:ascii="Arial" w:hAnsi="Arial" w:cs="Arial"/>
          <w:sz w:val="22"/>
        </w:rPr>
        <w:t xml:space="preserve">на </w:t>
      </w:r>
      <w:r w:rsidRPr="00745E11">
        <w:rPr>
          <w:rFonts w:ascii="Arial" w:hAnsi="Arial" w:cs="Arial"/>
          <w:sz w:val="22"/>
        </w:rPr>
        <w:t>5,7</w:t>
      </w:r>
      <w:r w:rsidRPr="002267F3">
        <w:rPr>
          <w:rFonts w:ascii="Arial" w:hAnsi="Arial" w:cs="Arial"/>
          <w:sz w:val="22"/>
        </w:rPr>
        <w:t xml:space="preserve"> млн. кв. метров,</w:t>
      </w:r>
      <w:r w:rsidR="00406629">
        <w:rPr>
          <w:rFonts w:ascii="Arial" w:hAnsi="Arial" w:cs="Arial"/>
          <w:sz w:val="22"/>
        </w:rPr>
        <w:t xml:space="preserve"> </w:t>
      </w:r>
      <w:r w:rsidRPr="00745E11">
        <w:rPr>
          <w:rFonts w:ascii="Arial" w:hAnsi="Arial" w:cs="Arial"/>
          <w:sz w:val="22"/>
        </w:rPr>
        <w:t>или на 36,0</w:t>
      </w:r>
      <w:r>
        <w:rPr>
          <w:rFonts w:ascii="Arial" w:hAnsi="Arial" w:cs="Arial"/>
          <w:sz w:val="22"/>
        </w:rPr>
        <w:t xml:space="preserve"> %, а в сельской местности – </w:t>
      </w:r>
      <w:r w:rsidRPr="002267F3">
        <w:rPr>
          <w:rFonts w:ascii="Arial" w:hAnsi="Arial" w:cs="Arial"/>
          <w:sz w:val="22"/>
        </w:rPr>
        <w:t xml:space="preserve">на </w:t>
      </w:r>
      <w:r w:rsidRPr="00745E11">
        <w:rPr>
          <w:rFonts w:ascii="Arial" w:hAnsi="Arial" w:cs="Arial"/>
          <w:sz w:val="22"/>
        </w:rPr>
        <w:t>0,9</w:t>
      </w:r>
      <w:r w:rsidRPr="002267F3">
        <w:rPr>
          <w:rFonts w:ascii="Arial" w:hAnsi="Arial" w:cs="Arial"/>
          <w:sz w:val="22"/>
        </w:rPr>
        <w:t xml:space="preserve"> млн. кв. метров,</w:t>
      </w:r>
      <w:r w:rsidR="00406629">
        <w:rPr>
          <w:rFonts w:ascii="Arial" w:hAnsi="Arial" w:cs="Arial"/>
          <w:sz w:val="22"/>
        </w:rPr>
        <w:t xml:space="preserve"> </w:t>
      </w:r>
      <w:r w:rsidRPr="00745E11">
        <w:rPr>
          <w:rFonts w:ascii="Arial" w:hAnsi="Arial" w:cs="Arial"/>
          <w:sz w:val="22"/>
        </w:rPr>
        <w:t xml:space="preserve">или  </w:t>
      </w:r>
      <w:proofErr w:type="gramStart"/>
      <w:r w:rsidRPr="00745E11">
        <w:rPr>
          <w:rFonts w:ascii="Arial" w:hAnsi="Arial" w:cs="Arial"/>
          <w:sz w:val="22"/>
        </w:rPr>
        <w:t>на</w:t>
      </w:r>
      <w:proofErr w:type="gramEnd"/>
      <w:r w:rsidRPr="00745E11">
        <w:rPr>
          <w:rFonts w:ascii="Arial" w:hAnsi="Arial" w:cs="Arial"/>
          <w:sz w:val="22"/>
        </w:rPr>
        <w:t xml:space="preserve">  11,5 %.</w:t>
      </w:r>
    </w:p>
    <w:p w:rsidR="003B2814" w:rsidRDefault="003B2814" w:rsidP="003B2814">
      <w:pPr>
        <w:ind w:firstLine="709"/>
        <w:jc w:val="both"/>
        <w:rPr>
          <w:rFonts w:ascii="Arial" w:hAnsi="Arial" w:cs="Arial"/>
          <w:sz w:val="22"/>
        </w:rPr>
      </w:pPr>
      <w:r>
        <w:rPr>
          <w:rFonts w:ascii="Arial" w:hAnsi="Arial" w:cs="Arial"/>
          <w:sz w:val="22"/>
        </w:rPr>
        <w:t>Процессы приватизации жилья, продажи новых квартир, рост индивидуального строительства существенно изменили структуру жилищного фонда. Значительно увеличился удельный вес жилья, находящегося в частной собственности. Если в 1990 году в частной собственности находилось 39 % жилья, то в 2011  – 84,5 %.</w:t>
      </w:r>
    </w:p>
    <w:p w:rsidR="003B2814" w:rsidRDefault="003B2814" w:rsidP="003B2814">
      <w:pPr>
        <w:ind w:firstLine="709"/>
        <w:jc w:val="both"/>
        <w:rPr>
          <w:rFonts w:ascii="Arial" w:hAnsi="Arial" w:cs="Arial"/>
          <w:sz w:val="22"/>
        </w:rPr>
      </w:pPr>
      <w:r>
        <w:rPr>
          <w:rFonts w:ascii="Arial" w:hAnsi="Arial" w:cs="Arial"/>
          <w:sz w:val="22"/>
        </w:rPr>
        <w:t xml:space="preserve">Средняя обеспеченность общей площадью одного жителя области увеличилась по сравнению с 1990 годом на </w:t>
      </w:r>
      <w:r w:rsidRPr="00D5652A">
        <w:rPr>
          <w:rFonts w:ascii="Arial" w:hAnsi="Arial" w:cs="Arial"/>
          <w:sz w:val="22"/>
        </w:rPr>
        <w:t>42,2</w:t>
      </w:r>
      <w:r>
        <w:rPr>
          <w:rFonts w:ascii="Arial" w:hAnsi="Arial" w:cs="Arial"/>
          <w:sz w:val="22"/>
        </w:rPr>
        <w:t xml:space="preserve"> % и составила на начало 2012 года – 23,6 кв. м. При этом обеспеченность жильем в городах выросла быстрее и увеличилась на </w:t>
      </w:r>
      <w:r w:rsidRPr="00DF70D4">
        <w:rPr>
          <w:rFonts w:ascii="Arial" w:hAnsi="Arial" w:cs="Arial"/>
          <w:sz w:val="22"/>
        </w:rPr>
        <w:t>47,7</w:t>
      </w:r>
      <w:r>
        <w:rPr>
          <w:rFonts w:ascii="Arial" w:hAnsi="Arial" w:cs="Arial"/>
          <w:sz w:val="22"/>
        </w:rPr>
        <w:t xml:space="preserve"> % против </w:t>
      </w:r>
      <w:r w:rsidRPr="00DF70D4">
        <w:rPr>
          <w:rFonts w:ascii="Arial" w:hAnsi="Arial" w:cs="Arial"/>
          <w:sz w:val="22"/>
        </w:rPr>
        <w:t>32,5 %</w:t>
      </w:r>
      <w:r>
        <w:rPr>
          <w:rFonts w:ascii="Arial" w:hAnsi="Arial" w:cs="Arial"/>
          <w:sz w:val="22"/>
        </w:rPr>
        <w:t xml:space="preserve"> на селе.</w:t>
      </w:r>
    </w:p>
    <w:p w:rsidR="00407DDD" w:rsidRDefault="003C492E" w:rsidP="00407DDD">
      <w:pPr>
        <w:ind w:firstLine="709"/>
        <w:jc w:val="both"/>
        <w:rPr>
          <w:rFonts w:ascii="Arial" w:hAnsi="Arial" w:cs="Arial"/>
          <w:sz w:val="22"/>
          <w:szCs w:val="22"/>
        </w:rPr>
      </w:pPr>
      <w:r>
        <w:rPr>
          <w:rFonts w:ascii="Arial" w:hAnsi="Arial" w:cs="Arial"/>
          <w:sz w:val="22"/>
          <w:szCs w:val="22"/>
        </w:rPr>
        <w:t>В 201</w:t>
      </w:r>
      <w:r w:rsidR="00407DDD">
        <w:rPr>
          <w:rFonts w:ascii="Arial" w:hAnsi="Arial" w:cs="Arial"/>
          <w:sz w:val="22"/>
          <w:szCs w:val="22"/>
        </w:rPr>
        <w:t>1</w:t>
      </w:r>
      <w:r>
        <w:rPr>
          <w:rFonts w:ascii="Arial" w:hAnsi="Arial" w:cs="Arial"/>
          <w:sz w:val="22"/>
          <w:szCs w:val="22"/>
        </w:rPr>
        <w:t xml:space="preserve"> году численность занятого населения в области составила 60</w:t>
      </w:r>
      <w:r w:rsidR="00407DDD">
        <w:rPr>
          <w:rFonts w:ascii="Arial" w:hAnsi="Arial" w:cs="Arial"/>
          <w:sz w:val="22"/>
          <w:szCs w:val="22"/>
        </w:rPr>
        <w:t>5</w:t>
      </w:r>
      <w:r>
        <w:rPr>
          <w:rFonts w:ascii="Arial" w:hAnsi="Arial" w:cs="Arial"/>
          <w:sz w:val="22"/>
          <w:szCs w:val="22"/>
        </w:rPr>
        <w:t>,</w:t>
      </w:r>
      <w:r w:rsidR="00407DDD">
        <w:rPr>
          <w:rFonts w:ascii="Arial" w:hAnsi="Arial" w:cs="Arial"/>
          <w:sz w:val="22"/>
          <w:szCs w:val="22"/>
        </w:rPr>
        <w:t>3</w:t>
      </w:r>
      <w:r>
        <w:rPr>
          <w:rFonts w:ascii="Arial" w:hAnsi="Arial" w:cs="Arial"/>
          <w:sz w:val="22"/>
          <w:szCs w:val="22"/>
        </w:rPr>
        <w:t xml:space="preserve"> тыс. человек</w:t>
      </w:r>
      <w:r w:rsidR="00407DDD">
        <w:rPr>
          <w:rFonts w:ascii="Arial" w:hAnsi="Arial" w:cs="Arial"/>
          <w:sz w:val="22"/>
          <w:szCs w:val="22"/>
        </w:rPr>
        <w:t>.</w:t>
      </w:r>
      <w:r w:rsidR="00406629">
        <w:rPr>
          <w:rFonts w:ascii="Arial" w:hAnsi="Arial" w:cs="Arial"/>
          <w:sz w:val="22"/>
          <w:szCs w:val="22"/>
        </w:rPr>
        <w:t xml:space="preserve"> </w:t>
      </w:r>
      <w:r w:rsidR="00407DDD">
        <w:rPr>
          <w:rFonts w:ascii="Arial" w:hAnsi="Arial" w:cs="Arial"/>
          <w:sz w:val="22"/>
          <w:szCs w:val="22"/>
        </w:rPr>
        <w:t>С началом проведения реформ занятость начала сокращаться и в 2011 году уменьшилась против 1990 года на 17,2%.</w:t>
      </w:r>
    </w:p>
    <w:p w:rsidR="00407DDD" w:rsidRDefault="00407DDD" w:rsidP="00407DDD">
      <w:pPr>
        <w:ind w:firstLine="709"/>
        <w:jc w:val="both"/>
        <w:rPr>
          <w:rFonts w:ascii="Arial" w:hAnsi="Arial" w:cs="Arial"/>
          <w:sz w:val="22"/>
          <w:szCs w:val="22"/>
        </w:rPr>
      </w:pPr>
      <w:r>
        <w:rPr>
          <w:rFonts w:ascii="Arial" w:hAnsi="Arial" w:cs="Arial"/>
          <w:sz w:val="22"/>
          <w:szCs w:val="22"/>
        </w:rPr>
        <w:t>В структуре численности занятых по видам экономической деятельности за 2011 год почти 23,3 процента составляли работники обрабатывающих производств, 13,6 процента –  сельского хозяйства, 13,3 процента - оптовой и розничной торговли, 8,3 – образования и  5,8 –  строительства.</w:t>
      </w:r>
    </w:p>
    <w:p w:rsidR="00407DDD" w:rsidRDefault="00407DDD" w:rsidP="00407DDD">
      <w:pPr>
        <w:pStyle w:val="22"/>
        <w:spacing w:line="240" w:lineRule="auto"/>
        <w:rPr>
          <w:rFonts w:cs="Arial"/>
          <w:sz w:val="22"/>
          <w:szCs w:val="22"/>
        </w:rPr>
      </w:pPr>
      <w:r w:rsidRPr="000546FE">
        <w:rPr>
          <w:rFonts w:cs="Arial"/>
          <w:sz w:val="22"/>
          <w:szCs w:val="22"/>
        </w:rPr>
        <w:t>Реальные денежные доходы населени</w:t>
      </w:r>
      <w:r>
        <w:rPr>
          <w:rFonts w:cs="Arial"/>
          <w:sz w:val="22"/>
          <w:szCs w:val="22"/>
        </w:rPr>
        <w:t>я за период с 1970 года  по 2011</w:t>
      </w:r>
      <w:r w:rsidRPr="000546FE">
        <w:rPr>
          <w:rFonts w:cs="Arial"/>
          <w:sz w:val="22"/>
          <w:szCs w:val="22"/>
        </w:rPr>
        <w:t xml:space="preserve"> год возросли</w:t>
      </w:r>
      <w:r>
        <w:rPr>
          <w:rFonts w:cs="Arial"/>
          <w:sz w:val="22"/>
          <w:szCs w:val="22"/>
        </w:rPr>
        <w:t xml:space="preserve"> почти</w:t>
      </w:r>
      <w:r w:rsidRPr="000546FE">
        <w:rPr>
          <w:rFonts w:cs="Arial"/>
          <w:sz w:val="22"/>
          <w:szCs w:val="22"/>
        </w:rPr>
        <w:t xml:space="preserve"> в 3,0 раза, а к уровню 1990 года сост</w:t>
      </w:r>
      <w:r w:rsidRPr="000546FE">
        <w:rPr>
          <w:rFonts w:cs="Arial"/>
          <w:sz w:val="22"/>
          <w:szCs w:val="22"/>
        </w:rPr>
        <w:t>а</w:t>
      </w:r>
      <w:r w:rsidRPr="000546FE">
        <w:rPr>
          <w:rFonts w:cs="Arial"/>
          <w:sz w:val="22"/>
          <w:szCs w:val="22"/>
        </w:rPr>
        <w:t>вили 113,0%.</w:t>
      </w:r>
    </w:p>
    <w:p w:rsidR="00E16995" w:rsidRPr="00E16995" w:rsidRDefault="00E16995" w:rsidP="00E16995">
      <w:pPr>
        <w:ind w:firstLine="709"/>
        <w:jc w:val="both"/>
        <w:rPr>
          <w:rFonts w:ascii="Arial" w:hAnsi="Arial" w:cs="Arial"/>
          <w:sz w:val="22"/>
          <w:szCs w:val="22"/>
        </w:rPr>
      </w:pPr>
      <w:r w:rsidRPr="00E16995">
        <w:rPr>
          <w:rFonts w:ascii="Arial" w:hAnsi="Arial" w:cs="Arial"/>
          <w:sz w:val="22"/>
          <w:szCs w:val="22"/>
        </w:rPr>
        <w:t>На 1 января 2012г. численность населения Ульяновской области (с учетом  окончательных  итогов Всероссийской переписи нас</w:t>
      </w:r>
      <w:r w:rsidRPr="00E16995">
        <w:rPr>
          <w:rFonts w:ascii="Arial" w:hAnsi="Arial" w:cs="Arial"/>
          <w:sz w:val="22"/>
          <w:szCs w:val="22"/>
        </w:rPr>
        <w:t>е</w:t>
      </w:r>
      <w:r w:rsidRPr="00E16995">
        <w:rPr>
          <w:rFonts w:ascii="Arial" w:hAnsi="Arial" w:cs="Arial"/>
          <w:sz w:val="22"/>
          <w:szCs w:val="22"/>
        </w:rPr>
        <w:t xml:space="preserve">ления 2010 года) составила 1282,1 тыс. человек,  из них около 60 процентов  проживают в 2-х крупных городах области – Ульяновске и Димитровграде. За последний </w:t>
      </w:r>
      <w:proofErr w:type="spellStart"/>
      <w:r w:rsidRPr="00E16995">
        <w:rPr>
          <w:rFonts w:ascii="Arial" w:hAnsi="Arial" w:cs="Arial"/>
          <w:sz w:val="22"/>
          <w:szCs w:val="22"/>
        </w:rPr>
        <w:t>межпереписной</w:t>
      </w:r>
      <w:proofErr w:type="spellEnd"/>
      <w:r w:rsidRPr="00E16995">
        <w:rPr>
          <w:rFonts w:ascii="Arial" w:hAnsi="Arial" w:cs="Arial"/>
          <w:sz w:val="22"/>
          <w:szCs w:val="22"/>
        </w:rPr>
        <w:t xml:space="preserve"> период (2002-2010гг.)  число жителей Ульяновской области уменьшилось на 90,0 тыс. ч</w:t>
      </w:r>
      <w:r w:rsidRPr="00E16995">
        <w:rPr>
          <w:rFonts w:ascii="Arial" w:hAnsi="Arial" w:cs="Arial"/>
          <w:sz w:val="22"/>
          <w:szCs w:val="22"/>
        </w:rPr>
        <w:t>е</w:t>
      </w:r>
      <w:r w:rsidRPr="00E16995">
        <w:rPr>
          <w:rFonts w:ascii="Arial" w:hAnsi="Arial" w:cs="Arial"/>
          <w:sz w:val="22"/>
          <w:szCs w:val="22"/>
        </w:rPr>
        <w:t xml:space="preserve">ловек или на 6,5%. Среднегодовые темпы снижения численности составили 0,8%  (за </w:t>
      </w:r>
      <w:proofErr w:type="spellStart"/>
      <w:r w:rsidRPr="00E16995">
        <w:rPr>
          <w:rFonts w:ascii="Arial" w:hAnsi="Arial" w:cs="Arial"/>
          <w:sz w:val="22"/>
          <w:szCs w:val="22"/>
        </w:rPr>
        <w:t>межпереписной</w:t>
      </w:r>
      <w:proofErr w:type="spellEnd"/>
      <w:r w:rsidRPr="00E16995">
        <w:rPr>
          <w:rFonts w:ascii="Arial" w:hAnsi="Arial" w:cs="Arial"/>
          <w:sz w:val="22"/>
          <w:szCs w:val="22"/>
        </w:rPr>
        <w:t xml:space="preserve"> период с 1989 по 2002 год этот показатель составил 0,1% процента).</w:t>
      </w:r>
    </w:p>
    <w:p w:rsidR="00023055" w:rsidRPr="00ED01A7" w:rsidRDefault="0002306A" w:rsidP="00023055">
      <w:pPr>
        <w:pStyle w:val="1"/>
        <w:rPr>
          <w:color w:val="548DD4" w:themeColor="text2" w:themeTint="99"/>
        </w:rPr>
      </w:pPr>
      <w:r>
        <w:rPr>
          <w:rFonts w:cs="Arial"/>
        </w:rPr>
        <w:br w:type="page"/>
      </w:r>
      <w:bookmarkStart w:id="9" w:name="_Toc309826883"/>
      <w:r w:rsidR="00023055" w:rsidRPr="00ED01A7">
        <w:rPr>
          <w:color w:val="548DD4" w:themeColor="text2" w:themeTint="99"/>
        </w:rPr>
        <w:lastRenderedPageBreak/>
        <w:t>АДМИНИСТРАТИВНО – ТЕРРИТОРИАЛЬНОЕ  ДЕЛЕНИЕ</w:t>
      </w:r>
      <w:bookmarkEnd w:id="9"/>
    </w:p>
    <w:p w:rsidR="00023055" w:rsidRDefault="00023055" w:rsidP="00023055">
      <w:r>
        <w:rPr>
          <w:noProof/>
        </w:rPr>
        <w:drawing>
          <wp:anchor distT="0" distB="0" distL="114300" distR="114300" simplePos="0" relativeHeight="251804672" behindDoc="0" locked="0" layoutInCell="1" allowOverlap="1">
            <wp:simplePos x="0" y="0"/>
            <wp:positionH relativeFrom="column">
              <wp:posOffset>-72390</wp:posOffset>
            </wp:positionH>
            <wp:positionV relativeFrom="paragraph">
              <wp:posOffset>123825</wp:posOffset>
            </wp:positionV>
            <wp:extent cx="2064385" cy="2163445"/>
            <wp:effectExtent l="19050" t="0" r="0" b="0"/>
            <wp:wrapThrough wrapText="bothSides">
              <wp:wrapPolygon edited="0">
                <wp:start x="-199" y="0"/>
                <wp:lineTo x="-199" y="21492"/>
                <wp:lineTo x="21527" y="21492"/>
                <wp:lineTo x="21527" y="0"/>
                <wp:lineTo x="-199" y="0"/>
              </wp:wrapPolygon>
            </wp:wrapThrough>
            <wp:docPr id="7" name="Рисунок 15" descr="Кар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1.jpg"/>
                    <pic:cNvPicPr/>
                  </pic:nvPicPr>
                  <pic:blipFill>
                    <a:blip r:embed="rId20" cstate="print"/>
                    <a:srcRect l="30083" t="8451" r="12892" b="6338"/>
                    <a:stretch>
                      <a:fillRect/>
                    </a:stretch>
                  </pic:blipFill>
                  <pic:spPr>
                    <a:xfrm>
                      <a:off x="0" y="0"/>
                      <a:ext cx="2064385" cy="2163445"/>
                    </a:xfrm>
                    <a:prstGeom prst="rect">
                      <a:avLst/>
                    </a:prstGeom>
                  </pic:spPr>
                </pic:pic>
              </a:graphicData>
            </a:graphic>
          </wp:anchor>
        </w:drawing>
      </w:r>
    </w:p>
    <w:p w:rsidR="00023055" w:rsidRDefault="00023055" w:rsidP="00023055">
      <w:pPr>
        <w:ind w:firstLine="709"/>
        <w:jc w:val="both"/>
        <w:rPr>
          <w:rFonts w:ascii="Arial" w:hAnsi="Arial" w:cs="Arial"/>
          <w:sz w:val="22"/>
        </w:rPr>
      </w:pPr>
    </w:p>
    <w:p w:rsidR="00023055" w:rsidRDefault="00023055" w:rsidP="00023055">
      <w:pPr>
        <w:ind w:firstLine="709"/>
        <w:jc w:val="both"/>
        <w:rPr>
          <w:rFonts w:ascii="Arial" w:hAnsi="Arial" w:cs="Arial"/>
          <w:sz w:val="22"/>
        </w:rPr>
      </w:pPr>
    </w:p>
    <w:p w:rsidR="00023055" w:rsidRDefault="00023055" w:rsidP="00023055">
      <w:pPr>
        <w:ind w:firstLine="709"/>
        <w:jc w:val="both"/>
        <w:rPr>
          <w:rFonts w:ascii="Arial" w:hAnsi="Arial" w:cs="Arial"/>
          <w:sz w:val="22"/>
        </w:rPr>
      </w:pPr>
    </w:p>
    <w:p w:rsidR="00023055" w:rsidRDefault="00023055" w:rsidP="00023055">
      <w:pPr>
        <w:ind w:firstLine="709"/>
        <w:jc w:val="both"/>
        <w:rPr>
          <w:rFonts w:ascii="Arial" w:hAnsi="Arial" w:cs="Arial"/>
          <w:sz w:val="22"/>
        </w:rPr>
      </w:pPr>
    </w:p>
    <w:p w:rsidR="00023055" w:rsidRDefault="00023055" w:rsidP="00023055">
      <w:pPr>
        <w:ind w:firstLine="709"/>
        <w:jc w:val="both"/>
        <w:rPr>
          <w:rFonts w:ascii="Arial" w:hAnsi="Arial" w:cs="Arial"/>
          <w:sz w:val="22"/>
        </w:rPr>
      </w:pPr>
    </w:p>
    <w:p w:rsidR="00023055" w:rsidRDefault="00023055" w:rsidP="00023055">
      <w:pPr>
        <w:ind w:firstLine="709"/>
        <w:jc w:val="both"/>
        <w:rPr>
          <w:sz w:val="22"/>
        </w:rPr>
      </w:pPr>
      <w:r>
        <w:rPr>
          <w:rFonts w:ascii="Arial" w:hAnsi="Arial" w:cs="Arial"/>
          <w:sz w:val="22"/>
        </w:rPr>
        <w:t>На 1 января 2012   года в Ульяновской области 6 городов, из них 3 областного подчинения (Уль</w:t>
      </w:r>
      <w:r>
        <w:rPr>
          <w:rFonts w:ascii="Arial" w:hAnsi="Arial" w:cs="Arial"/>
          <w:sz w:val="22"/>
        </w:rPr>
        <w:t>я</w:t>
      </w:r>
      <w:r>
        <w:rPr>
          <w:rFonts w:ascii="Arial" w:hAnsi="Arial" w:cs="Arial"/>
          <w:sz w:val="22"/>
        </w:rPr>
        <w:t xml:space="preserve">новск, Димитровград и </w:t>
      </w:r>
      <w:proofErr w:type="spellStart"/>
      <w:r>
        <w:rPr>
          <w:rFonts w:ascii="Arial" w:hAnsi="Arial" w:cs="Arial"/>
          <w:sz w:val="22"/>
        </w:rPr>
        <w:t>Новоульяновск</w:t>
      </w:r>
      <w:proofErr w:type="spellEnd"/>
      <w:r>
        <w:rPr>
          <w:rFonts w:ascii="Arial" w:hAnsi="Arial" w:cs="Arial"/>
          <w:sz w:val="22"/>
        </w:rPr>
        <w:t xml:space="preserve">) и 21 административный район (17 из которых  расположены  на правом берегу Волги, 4 – в Левобережье), 28 поселковых  и 112 сельских округов. </w:t>
      </w:r>
    </w:p>
    <w:p w:rsidR="00023055" w:rsidRDefault="00023055" w:rsidP="00023055">
      <w:pPr>
        <w:pStyle w:val="2"/>
        <w:jc w:val="center"/>
      </w:pPr>
    </w:p>
    <w:p w:rsidR="00023055" w:rsidRDefault="00023055" w:rsidP="00023055">
      <w:pPr>
        <w:pStyle w:val="2"/>
        <w:jc w:val="center"/>
        <w:rPr>
          <w:i w:val="0"/>
          <w:sz w:val="22"/>
          <w:szCs w:val="22"/>
        </w:rPr>
      </w:pPr>
    </w:p>
    <w:p w:rsidR="00023055" w:rsidRDefault="00023055" w:rsidP="00023055">
      <w:pPr>
        <w:pStyle w:val="2"/>
        <w:jc w:val="center"/>
        <w:rPr>
          <w:i w:val="0"/>
          <w:sz w:val="22"/>
          <w:szCs w:val="22"/>
        </w:rPr>
      </w:pPr>
    </w:p>
    <w:p w:rsidR="00023055" w:rsidRPr="00217011" w:rsidRDefault="00023055" w:rsidP="00023055">
      <w:pPr>
        <w:pStyle w:val="2"/>
        <w:jc w:val="center"/>
        <w:rPr>
          <w:i w:val="0"/>
          <w:sz w:val="22"/>
          <w:szCs w:val="22"/>
        </w:rPr>
      </w:pPr>
      <w:r w:rsidRPr="00217011">
        <w:rPr>
          <w:i w:val="0"/>
          <w:sz w:val="22"/>
          <w:szCs w:val="22"/>
        </w:rPr>
        <w:t>АДМИНИСТРАТИВНО – ТЕРРИТОРИАЛЬНОЕ  ДЕЛЕНИЕ</w:t>
      </w:r>
    </w:p>
    <w:p w:rsidR="00023055" w:rsidRDefault="00023055" w:rsidP="00023055">
      <w:pPr>
        <w:spacing w:after="120"/>
        <w:ind w:right="-85"/>
        <w:jc w:val="center"/>
        <w:rPr>
          <w:rFonts w:ascii="Arial" w:hAnsi="Arial" w:cs="Arial"/>
          <w:sz w:val="22"/>
        </w:rPr>
      </w:pPr>
      <w:r>
        <w:rPr>
          <w:rFonts w:ascii="Arial" w:hAnsi="Arial" w:cs="Arial"/>
          <w:sz w:val="22"/>
        </w:rPr>
        <w:t>(на начало года)</w:t>
      </w:r>
    </w:p>
    <w:tbl>
      <w:tblPr>
        <w:tblStyle w:val="-11"/>
        <w:tblW w:w="5000" w:type="pct"/>
        <w:tblLayout w:type="fixed"/>
        <w:tblLook w:val="0000" w:firstRow="0" w:lastRow="0" w:firstColumn="0" w:lastColumn="0" w:noHBand="0" w:noVBand="0"/>
      </w:tblPr>
      <w:tblGrid>
        <w:gridCol w:w="2943"/>
        <w:gridCol w:w="1300"/>
        <w:gridCol w:w="1465"/>
        <w:gridCol w:w="1465"/>
        <w:gridCol w:w="1465"/>
        <w:gridCol w:w="1465"/>
        <w:gridCol w:w="1465"/>
        <w:gridCol w:w="1465"/>
        <w:gridCol w:w="1471"/>
      </w:tblGrid>
      <w:tr w:rsidR="00023055" w:rsidRPr="00224BD5"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5" w:type="pct"/>
            <w:shd w:val="clear" w:color="auto" w:fill="C6D9F1" w:themeFill="text2" w:themeFillTint="33"/>
          </w:tcPr>
          <w:p w:rsidR="00023055" w:rsidRPr="00224BD5" w:rsidRDefault="00023055" w:rsidP="00023055">
            <w:pPr>
              <w:spacing w:before="60" w:after="60"/>
              <w:jc w:val="center"/>
              <w:rPr>
                <w:rFonts w:ascii="Arial" w:hAnsi="Arial" w:cs="Arial"/>
                <w:b/>
                <w:sz w:val="18"/>
                <w:szCs w:val="18"/>
              </w:rPr>
            </w:pPr>
          </w:p>
        </w:tc>
        <w:tc>
          <w:tcPr>
            <w:tcW w:w="448" w:type="pct"/>
            <w:shd w:val="clear" w:color="auto" w:fill="C6D9F1" w:themeFill="text2" w:themeFillTint="33"/>
          </w:tcPr>
          <w:p w:rsidR="00023055" w:rsidRPr="00224BD5" w:rsidRDefault="00023055" w:rsidP="00023055">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224BD5">
              <w:rPr>
                <w:rFonts w:ascii="Arial" w:hAnsi="Arial" w:cs="Arial"/>
                <w:b/>
                <w:sz w:val="18"/>
                <w:szCs w:val="18"/>
              </w:rPr>
              <w:t>1950</w:t>
            </w:r>
          </w:p>
        </w:tc>
        <w:tc>
          <w:tcPr>
            <w:cnfStyle w:val="000010000000" w:firstRow="0" w:lastRow="0" w:firstColumn="0" w:lastColumn="0" w:oddVBand="1" w:evenVBand="0" w:oddHBand="0" w:evenHBand="0" w:firstRowFirstColumn="0" w:firstRowLastColumn="0" w:lastRowFirstColumn="0" w:lastRowLastColumn="0"/>
            <w:tcW w:w="505" w:type="pct"/>
            <w:shd w:val="clear" w:color="auto" w:fill="C6D9F1" w:themeFill="text2" w:themeFillTint="33"/>
          </w:tcPr>
          <w:p w:rsidR="00023055" w:rsidRPr="00224BD5" w:rsidRDefault="00023055" w:rsidP="00023055">
            <w:pPr>
              <w:spacing w:before="60" w:after="60"/>
              <w:jc w:val="center"/>
              <w:rPr>
                <w:rFonts w:ascii="Arial" w:hAnsi="Arial" w:cs="Arial"/>
                <w:b/>
                <w:sz w:val="18"/>
                <w:szCs w:val="18"/>
              </w:rPr>
            </w:pPr>
            <w:r w:rsidRPr="00224BD5">
              <w:rPr>
                <w:rFonts w:ascii="Arial" w:hAnsi="Arial" w:cs="Arial"/>
                <w:b/>
                <w:sz w:val="18"/>
                <w:szCs w:val="18"/>
              </w:rPr>
              <w:t>1960</w:t>
            </w:r>
          </w:p>
        </w:tc>
        <w:tc>
          <w:tcPr>
            <w:tcW w:w="505" w:type="pct"/>
            <w:shd w:val="clear" w:color="auto" w:fill="C6D9F1" w:themeFill="text2" w:themeFillTint="33"/>
          </w:tcPr>
          <w:p w:rsidR="00023055" w:rsidRPr="00224BD5" w:rsidRDefault="00023055" w:rsidP="00023055">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224BD5">
              <w:rPr>
                <w:rFonts w:ascii="Arial" w:hAnsi="Arial" w:cs="Arial"/>
                <w:b/>
                <w:sz w:val="18"/>
                <w:szCs w:val="18"/>
              </w:rPr>
              <w:t>1970</w:t>
            </w:r>
          </w:p>
        </w:tc>
        <w:tc>
          <w:tcPr>
            <w:cnfStyle w:val="000010000000" w:firstRow="0" w:lastRow="0" w:firstColumn="0" w:lastColumn="0" w:oddVBand="1" w:evenVBand="0" w:oddHBand="0" w:evenHBand="0" w:firstRowFirstColumn="0" w:firstRowLastColumn="0" w:lastRowFirstColumn="0" w:lastRowLastColumn="0"/>
            <w:tcW w:w="505" w:type="pct"/>
            <w:shd w:val="clear" w:color="auto" w:fill="C6D9F1" w:themeFill="text2" w:themeFillTint="33"/>
          </w:tcPr>
          <w:p w:rsidR="00023055" w:rsidRPr="00224BD5" w:rsidRDefault="00023055" w:rsidP="00023055">
            <w:pPr>
              <w:spacing w:before="60" w:after="60"/>
              <w:jc w:val="center"/>
              <w:rPr>
                <w:rFonts w:ascii="Arial" w:hAnsi="Arial" w:cs="Arial"/>
                <w:b/>
                <w:sz w:val="18"/>
                <w:szCs w:val="18"/>
              </w:rPr>
            </w:pPr>
            <w:r w:rsidRPr="00224BD5">
              <w:rPr>
                <w:rFonts w:ascii="Arial" w:hAnsi="Arial" w:cs="Arial"/>
                <w:b/>
                <w:sz w:val="18"/>
                <w:szCs w:val="18"/>
              </w:rPr>
              <w:t>1980</w:t>
            </w:r>
          </w:p>
        </w:tc>
        <w:tc>
          <w:tcPr>
            <w:tcW w:w="505" w:type="pct"/>
            <w:shd w:val="clear" w:color="auto" w:fill="C6D9F1" w:themeFill="text2" w:themeFillTint="33"/>
          </w:tcPr>
          <w:p w:rsidR="00023055" w:rsidRPr="00224BD5" w:rsidRDefault="00023055" w:rsidP="00023055">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224BD5">
              <w:rPr>
                <w:rFonts w:ascii="Arial" w:hAnsi="Arial" w:cs="Arial"/>
                <w:b/>
                <w:sz w:val="18"/>
                <w:szCs w:val="18"/>
              </w:rPr>
              <w:t>1990</w:t>
            </w:r>
          </w:p>
        </w:tc>
        <w:tc>
          <w:tcPr>
            <w:cnfStyle w:val="000010000000" w:firstRow="0" w:lastRow="0" w:firstColumn="0" w:lastColumn="0" w:oddVBand="1" w:evenVBand="0" w:oddHBand="0" w:evenHBand="0" w:firstRowFirstColumn="0" w:firstRowLastColumn="0" w:lastRowFirstColumn="0" w:lastRowLastColumn="0"/>
            <w:tcW w:w="505" w:type="pct"/>
            <w:shd w:val="clear" w:color="auto" w:fill="C6D9F1" w:themeFill="text2" w:themeFillTint="33"/>
          </w:tcPr>
          <w:p w:rsidR="00023055" w:rsidRPr="00224BD5" w:rsidRDefault="00023055" w:rsidP="00023055">
            <w:pPr>
              <w:spacing w:before="60" w:after="60"/>
              <w:jc w:val="center"/>
              <w:rPr>
                <w:rFonts w:ascii="Arial" w:hAnsi="Arial" w:cs="Arial"/>
                <w:b/>
                <w:sz w:val="18"/>
                <w:szCs w:val="18"/>
              </w:rPr>
            </w:pPr>
            <w:r w:rsidRPr="00224BD5">
              <w:rPr>
                <w:rFonts w:ascii="Arial" w:hAnsi="Arial" w:cs="Arial"/>
                <w:b/>
                <w:sz w:val="18"/>
                <w:szCs w:val="18"/>
              </w:rPr>
              <w:t>2000</w:t>
            </w:r>
          </w:p>
        </w:tc>
        <w:tc>
          <w:tcPr>
            <w:tcW w:w="505" w:type="pct"/>
            <w:shd w:val="clear" w:color="auto" w:fill="C6D9F1" w:themeFill="text2" w:themeFillTint="33"/>
          </w:tcPr>
          <w:p w:rsidR="00023055" w:rsidRPr="00224BD5" w:rsidRDefault="00023055" w:rsidP="00023055">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224BD5">
              <w:rPr>
                <w:rFonts w:ascii="Arial" w:hAnsi="Arial" w:cs="Arial"/>
                <w:b/>
                <w:sz w:val="18"/>
                <w:szCs w:val="18"/>
              </w:rPr>
              <w:t>2010</w:t>
            </w:r>
          </w:p>
        </w:tc>
        <w:tc>
          <w:tcPr>
            <w:cnfStyle w:val="000010000000" w:firstRow="0" w:lastRow="0" w:firstColumn="0" w:lastColumn="0" w:oddVBand="1" w:evenVBand="0" w:oddHBand="0" w:evenHBand="0" w:firstRowFirstColumn="0" w:firstRowLastColumn="0" w:lastRowFirstColumn="0" w:lastRowLastColumn="0"/>
            <w:tcW w:w="507" w:type="pct"/>
            <w:shd w:val="clear" w:color="auto" w:fill="C6D9F1" w:themeFill="text2" w:themeFillTint="33"/>
          </w:tcPr>
          <w:p w:rsidR="00023055" w:rsidRPr="00224BD5" w:rsidRDefault="00023055" w:rsidP="00023055">
            <w:pPr>
              <w:spacing w:before="60" w:after="60"/>
              <w:jc w:val="center"/>
              <w:rPr>
                <w:rFonts w:ascii="Arial" w:hAnsi="Arial" w:cs="Arial"/>
                <w:b/>
                <w:sz w:val="18"/>
                <w:szCs w:val="18"/>
              </w:rPr>
            </w:pPr>
            <w:r w:rsidRPr="00224BD5">
              <w:rPr>
                <w:rFonts w:ascii="Arial" w:hAnsi="Arial" w:cs="Arial"/>
                <w:b/>
                <w:sz w:val="18"/>
                <w:szCs w:val="18"/>
              </w:rPr>
              <w:t>201</w:t>
            </w:r>
            <w:r>
              <w:rPr>
                <w:rFonts w:ascii="Arial" w:hAnsi="Arial" w:cs="Arial"/>
                <w:b/>
                <w:sz w:val="18"/>
                <w:szCs w:val="18"/>
              </w:rPr>
              <w:t>2</w:t>
            </w:r>
          </w:p>
        </w:tc>
      </w:tr>
      <w:tr w:rsidR="00023055" w:rsidRPr="0053759F" w:rsidTr="00023055">
        <w:tc>
          <w:tcPr>
            <w:cnfStyle w:val="000010000000" w:firstRow="0" w:lastRow="0" w:firstColumn="0" w:lastColumn="0" w:oddVBand="1" w:evenVBand="0" w:oddHBand="0" w:evenHBand="0" w:firstRowFirstColumn="0" w:firstRowLastColumn="0" w:lastRowFirstColumn="0" w:lastRowLastColumn="0"/>
            <w:tcW w:w="1015" w:type="pct"/>
          </w:tcPr>
          <w:p w:rsidR="00023055" w:rsidRPr="0053759F" w:rsidRDefault="00023055" w:rsidP="00023055">
            <w:pPr>
              <w:pStyle w:val="3"/>
              <w:spacing w:before="60" w:after="60"/>
              <w:jc w:val="left"/>
              <w:outlineLvl w:val="2"/>
              <w:rPr>
                <w:rFonts w:ascii="Arial" w:hAnsi="Arial" w:cs="Arial"/>
                <w:sz w:val="18"/>
                <w:szCs w:val="18"/>
              </w:rPr>
            </w:pPr>
            <w:r w:rsidRPr="0053759F">
              <w:rPr>
                <w:rFonts w:ascii="Arial" w:hAnsi="Arial" w:cs="Arial"/>
                <w:sz w:val="18"/>
                <w:szCs w:val="18"/>
              </w:rPr>
              <w:t>Районы</w:t>
            </w:r>
          </w:p>
        </w:tc>
        <w:tc>
          <w:tcPr>
            <w:tcW w:w="448" w:type="pct"/>
          </w:tcPr>
          <w:p w:rsidR="00023055" w:rsidRPr="0053759F"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30</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21</w:t>
            </w:r>
          </w:p>
        </w:tc>
        <w:tc>
          <w:tcPr>
            <w:tcW w:w="505" w:type="pct"/>
          </w:tcPr>
          <w:p w:rsidR="00023055" w:rsidRPr="0053759F"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20</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20</w:t>
            </w:r>
          </w:p>
        </w:tc>
        <w:tc>
          <w:tcPr>
            <w:tcW w:w="505" w:type="pct"/>
          </w:tcPr>
          <w:p w:rsidR="00023055" w:rsidRPr="0053759F"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21</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21</w:t>
            </w:r>
          </w:p>
        </w:tc>
        <w:tc>
          <w:tcPr>
            <w:tcW w:w="505" w:type="pct"/>
          </w:tcPr>
          <w:p w:rsidR="00023055" w:rsidRPr="0053759F"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21</w:t>
            </w:r>
          </w:p>
        </w:tc>
        <w:tc>
          <w:tcPr>
            <w:cnfStyle w:val="000010000000" w:firstRow="0" w:lastRow="0" w:firstColumn="0" w:lastColumn="0" w:oddVBand="1" w:evenVBand="0" w:oddHBand="0" w:evenHBand="0" w:firstRowFirstColumn="0" w:firstRowLastColumn="0" w:lastRowFirstColumn="0" w:lastRowLastColumn="0"/>
            <w:tcW w:w="507" w:type="pct"/>
          </w:tcPr>
          <w:p w:rsidR="00023055" w:rsidRPr="003D3AE0" w:rsidRDefault="00023055" w:rsidP="00023055">
            <w:pPr>
              <w:spacing w:before="60" w:after="60"/>
              <w:ind w:right="397"/>
              <w:jc w:val="right"/>
              <w:rPr>
                <w:rFonts w:ascii="Arial" w:hAnsi="Arial" w:cs="Arial"/>
                <w:sz w:val="18"/>
                <w:szCs w:val="18"/>
              </w:rPr>
            </w:pPr>
            <w:r>
              <w:rPr>
                <w:rFonts w:ascii="Arial" w:hAnsi="Arial" w:cs="Arial"/>
                <w:sz w:val="18"/>
                <w:szCs w:val="18"/>
              </w:rPr>
              <w:t>21</w:t>
            </w:r>
          </w:p>
        </w:tc>
      </w:tr>
      <w:tr w:rsidR="00023055"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5" w:type="pct"/>
          </w:tcPr>
          <w:p w:rsidR="00023055" w:rsidRPr="00A45803" w:rsidRDefault="00023055" w:rsidP="00023055">
            <w:pPr>
              <w:spacing w:before="60" w:after="60"/>
              <w:rPr>
                <w:rFonts w:ascii="Arial" w:hAnsi="Arial" w:cs="Arial"/>
                <w:sz w:val="18"/>
                <w:szCs w:val="18"/>
              </w:rPr>
            </w:pPr>
            <w:r w:rsidRPr="0053759F">
              <w:rPr>
                <w:rFonts w:ascii="Arial" w:hAnsi="Arial" w:cs="Arial"/>
                <w:sz w:val="18"/>
                <w:szCs w:val="18"/>
              </w:rPr>
              <w:t>Города</w:t>
            </w:r>
          </w:p>
        </w:tc>
        <w:tc>
          <w:tcPr>
            <w:tcW w:w="448" w:type="pct"/>
          </w:tcPr>
          <w:p w:rsidR="00023055" w:rsidRPr="0053759F"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4</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5</w:t>
            </w:r>
          </w:p>
        </w:tc>
        <w:tc>
          <w:tcPr>
            <w:tcW w:w="505" w:type="pct"/>
          </w:tcPr>
          <w:p w:rsidR="00023055" w:rsidRPr="0053759F"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6</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6</w:t>
            </w:r>
          </w:p>
        </w:tc>
        <w:tc>
          <w:tcPr>
            <w:tcW w:w="505" w:type="pct"/>
          </w:tcPr>
          <w:p w:rsidR="00023055" w:rsidRPr="0053759F"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6</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6</w:t>
            </w:r>
          </w:p>
        </w:tc>
        <w:tc>
          <w:tcPr>
            <w:tcW w:w="505" w:type="pct"/>
          </w:tcPr>
          <w:p w:rsidR="00023055" w:rsidRPr="0053759F"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6</w:t>
            </w:r>
          </w:p>
        </w:tc>
        <w:tc>
          <w:tcPr>
            <w:cnfStyle w:val="000010000000" w:firstRow="0" w:lastRow="0" w:firstColumn="0" w:lastColumn="0" w:oddVBand="1" w:evenVBand="0" w:oddHBand="0" w:evenHBand="0" w:firstRowFirstColumn="0" w:firstRowLastColumn="0" w:lastRowFirstColumn="0" w:lastRowLastColumn="0"/>
            <w:tcW w:w="507" w:type="pct"/>
          </w:tcPr>
          <w:p w:rsidR="00023055" w:rsidRPr="003D3AE0" w:rsidRDefault="00023055" w:rsidP="00023055">
            <w:pPr>
              <w:spacing w:before="60" w:after="60"/>
              <w:ind w:right="397"/>
              <w:jc w:val="right"/>
              <w:rPr>
                <w:rFonts w:ascii="Arial" w:hAnsi="Arial" w:cs="Arial"/>
                <w:sz w:val="18"/>
                <w:szCs w:val="18"/>
              </w:rPr>
            </w:pPr>
            <w:r>
              <w:rPr>
                <w:rFonts w:ascii="Arial" w:hAnsi="Arial" w:cs="Arial"/>
                <w:sz w:val="18"/>
                <w:szCs w:val="18"/>
              </w:rPr>
              <w:t>6</w:t>
            </w:r>
          </w:p>
        </w:tc>
      </w:tr>
      <w:tr w:rsidR="00023055" w:rsidRPr="0053759F" w:rsidTr="00023055">
        <w:tc>
          <w:tcPr>
            <w:cnfStyle w:val="000010000000" w:firstRow="0" w:lastRow="0" w:firstColumn="0" w:lastColumn="0" w:oddVBand="1" w:evenVBand="0" w:oddHBand="0" w:evenHBand="0" w:firstRowFirstColumn="0" w:firstRowLastColumn="0" w:lastRowFirstColumn="0" w:lastRowLastColumn="0"/>
            <w:tcW w:w="1015" w:type="pct"/>
          </w:tcPr>
          <w:p w:rsidR="00023055" w:rsidRPr="000E35A2" w:rsidRDefault="00023055" w:rsidP="00023055">
            <w:pPr>
              <w:spacing w:before="60" w:after="60"/>
              <w:rPr>
                <w:rFonts w:ascii="Arial" w:hAnsi="Arial" w:cs="Arial"/>
                <w:sz w:val="18"/>
                <w:szCs w:val="18"/>
              </w:rPr>
            </w:pPr>
            <w:r>
              <w:rPr>
                <w:rFonts w:ascii="Arial" w:hAnsi="Arial" w:cs="Arial"/>
                <w:sz w:val="18"/>
                <w:szCs w:val="18"/>
              </w:rPr>
              <w:t>Внутригородские районы</w:t>
            </w:r>
          </w:p>
        </w:tc>
        <w:tc>
          <w:tcPr>
            <w:tcW w:w="448" w:type="pct"/>
          </w:tcPr>
          <w:p w:rsidR="00023055" w:rsidRPr="0053759F" w:rsidRDefault="00406629"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406629" w:rsidP="00023055">
            <w:pPr>
              <w:spacing w:before="60" w:after="60"/>
              <w:ind w:right="397"/>
              <w:jc w:val="right"/>
              <w:rPr>
                <w:rFonts w:ascii="Arial" w:hAnsi="Arial" w:cs="Arial"/>
                <w:sz w:val="18"/>
                <w:szCs w:val="18"/>
              </w:rPr>
            </w:pPr>
            <w:r>
              <w:rPr>
                <w:rFonts w:ascii="Arial" w:hAnsi="Arial" w:cs="Arial"/>
                <w:sz w:val="18"/>
                <w:szCs w:val="18"/>
              </w:rPr>
              <w:t>–</w:t>
            </w:r>
          </w:p>
        </w:tc>
        <w:tc>
          <w:tcPr>
            <w:tcW w:w="505" w:type="pct"/>
          </w:tcPr>
          <w:p w:rsidR="00023055" w:rsidRPr="0053759F" w:rsidRDefault="00406629"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406629" w:rsidP="00023055">
            <w:pPr>
              <w:spacing w:before="60" w:after="60"/>
              <w:ind w:right="397"/>
              <w:jc w:val="right"/>
              <w:rPr>
                <w:rFonts w:ascii="Arial" w:hAnsi="Arial" w:cs="Arial"/>
                <w:sz w:val="18"/>
                <w:szCs w:val="18"/>
              </w:rPr>
            </w:pPr>
            <w:r>
              <w:rPr>
                <w:rFonts w:ascii="Arial" w:hAnsi="Arial" w:cs="Arial"/>
                <w:sz w:val="18"/>
                <w:szCs w:val="18"/>
              </w:rPr>
              <w:t>–</w:t>
            </w:r>
          </w:p>
        </w:tc>
        <w:tc>
          <w:tcPr>
            <w:tcW w:w="505" w:type="pct"/>
          </w:tcPr>
          <w:p w:rsidR="00023055" w:rsidRPr="0053759F" w:rsidRDefault="00406629"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406629" w:rsidP="00023055">
            <w:pPr>
              <w:spacing w:before="60" w:after="60"/>
              <w:ind w:right="397"/>
              <w:jc w:val="right"/>
              <w:rPr>
                <w:rFonts w:ascii="Arial" w:hAnsi="Arial" w:cs="Arial"/>
                <w:sz w:val="18"/>
                <w:szCs w:val="18"/>
              </w:rPr>
            </w:pPr>
            <w:r>
              <w:rPr>
                <w:rFonts w:ascii="Arial" w:hAnsi="Arial" w:cs="Arial"/>
                <w:sz w:val="18"/>
                <w:szCs w:val="18"/>
              </w:rPr>
              <w:t>–</w:t>
            </w:r>
          </w:p>
        </w:tc>
        <w:tc>
          <w:tcPr>
            <w:tcW w:w="505" w:type="pct"/>
          </w:tcPr>
          <w:p w:rsidR="00023055" w:rsidRPr="00A45803"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vertAlign w:val="superscript"/>
              </w:rPr>
            </w:pPr>
            <w:r>
              <w:rPr>
                <w:rFonts w:ascii="Arial" w:hAnsi="Arial" w:cs="Arial"/>
                <w:sz w:val="18"/>
                <w:szCs w:val="18"/>
              </w:rPr>
              <w:t>4</w:t>
            </w:r>
            <w:r>
              <w:rPr>
                <w:rFonts w:ascii="Arial" w:hAnsi="Arial" w:cs="Arial"/>
                <w:sz w:val="18"/>
                <w:szCs w:val="18"/>
                <w:vertAlign w:val="superscript"/>
              </w:rPr>
              <w:t>3)</w:t>
            </w:r>
          </w:p>
        </w:tc>
        <w:tc>
          <w:tcPr>
            <w:cnfStyle w:val="000010000000" w:firstRow="0" w:lastRow="0" w:firstColumn="0" w:lastColumn="0" w:oddVBand="1" w:evenVBand="0" w:oddHBand="0" w:evenHBand="0" w:firstRowFirstColumn="0" w:firstRowLastColumn="0" w:lastRowFirstColumn="0" w:lastRowLastColumn="0"/>
            <w:tcW w:w="507" w:type="pct"/>
          </w:tcPr>
          <w:p w:rsidR="00023055" w:rsidRPr="00A45803" w:rsidRDefault="00023055" w:rsidP="00023055">
            <w:pPr>
              <w:spacing w:before="60" w:after="60"/>
              <w:ind w:right="397"/>
              <w:jc w:val="right"/>
              <w:rPr>
                <w:rFonts w:ascii="Arial" w:hAnsi="Arial" w:cs="Arial"/>
                <w:sz w:val="18"/>
                <w:szCs w:val="18"/>
                <w:vertAlign w:val="superscript"/>
              </w:rPr>
            </w:pPr>
            <w:r>
              <w:rPr>
                <w:rFonts w:ascii="Arial" w:hAnsi="Arial" w:cs="Arial"/>
                <w:sz w:val="18"/>
                <w:szCs w:val="18"/>
              </w:rPr>
              <w:t>4</w:t>
            </w:r>
            <w:r>
              <w:rPr>
                <w:rFonts w:ascii="Arial" w:hAnsi="Arial" w:cs="Arial"/>
                <w:sz w:val="18"/>
                <w:szCs w:val="18"/>
                <w:vertAlign w:val="superscript"/>
              </w:rPr>
              <w:t>3)</w:t>
            </w:r>
          </w:p>
        </w:tc>
      </w:tr>
      <w:tr w:rsidR="00023055"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5" w:type="pct"/>
          </w:tcPr>
          <w:p w:rsidR="00023055" w:rsidRPr="0053759F" w:rsidRDefault="00023055" w:rsidP="00023055">
            <w:pPr>
              <w:spacing w:before="60" w:after="60"/>
              <w:rPr>
                <w:rFonts w:ascii="Arial" w:hAnsi="Arial" w:cs="Arial"/>
                <w:sz w:val="18"/>
                <w:szCs w:val="18"/>
              </w:rPr>
            </w:pPr>
            <w:r>
              <w:rPr>
                <w:rFonts w:ascii="Arial" w:hAnsi="Arial" w:cs="Arial"/>
                <w:sz w:val="18"/>
                <w:szCs w:val="18"/>
              </w:rPr>
              <w:t>Поселковые округа</w:t>
            </w:r>
          </w:p>
        </w:tc>
        <w:tc>
          <w:tcPr>
            <w:tcW w:w="448" w:type="pct"/>
          </w:tcPr>
          <w:p w:rsidR="00023055" w:rsidRPr="00E11267"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14</w:t>
            </w:r>
            <w:r>
              <w:rPr>
                <w:rFonts w:ascii="Arial" w:hAnsi="Arial" w:cs="Arial"/>
                <w:sz w:val="18"/>
                <w:szCs w:val="18"/>
                <w:vertAlign w:val="superscript"/>
              </w:rPr>
              <w:t>1)</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E11267" w:rsidRDefault="00023055" w:rsidP="00023055">
            <w:pPr>
              <w:spacing w:before="60" w:after="60"/>
              <w:ind w:right="397"/>
              <w:jc w:val="right"/>
              <w:rPr>
                <w:rFonts w:ascii="Arial" w:hAnsi="Arial" w:cs="Arial"/>
                <w:sz w:val="18"/>
                <w:szCs w:val="18"/>
                <w:vertAlign w:val="superscript"/>
              </w:rPr>
            </w:pPr>
            <w:r w:rsidRPr="0053759F">
              <w:rPr>
                <w:rFonts w:ascii="Arial" w:hAnsi="Arial" w:cs="Arial"/>
                <w:sz w:val="18"/>
                <w:szCs w:val="18"/>
              </w:rPr>
              <w:t>17</w:t>
            </w:r>
            <w:r>
              <w:rPr>
                <w:rFonts w:ascii="Arial" w:hAnsi="Arial" w:cs="Arial"/>
                <w:sz w:val="18"/>
                <w:szCs w:val="18"/>
                <w:vertAlign w:val="superscript"/>
              </w:rPr>
              <w:t>1)</w:t>
            </w:r>
          </w:p>
        </w:tc>
        <w:tc>
          <w:tcPr>
            <w:tcW w:w="505" w:type="pct"/>
          </w:tcPr>
          <w:p w:rsidR="00023055" w:rsidRPr="00E11267"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26</w:t>
            </w:r>
            <w:r>
              <w:rPr>
                <w:rFonts w:ascii="Arial" w:hAnsi="Arial" w:cs="Arial"/>
                <w:sz w:val="18"/>
                <w:szCs w:val="18"/>
                <w:vertAlign w:val="superscript"/>
              </w:rPr>
              <w:t>1)</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E11267" w:rsidRDefault="00023055" w:rsidP="00023055">
            <w:pPr>
              <w:spacing w:before="60" w:after="60"/>
              <w:ind w:right="397"/>
              <w:jc w:val="right"/>
              <w:rPr>
                <w:rFonts w:ascii="Arial" w:hAnsi="Arial" w:cs="Arial"/>
                <w:sz w:val="18"/>
                <w:szCs w:val="18"/>
                <w:vertAlign w:val="superscript"/>
              </w:rPr>
            </w:pPr>
            <w:r w:rsidRPr="0053759F">
              <w:rPr>
                <w:rFonts w:ascii="Arial" w:hAnsi="Arial" w:cs="Arial"/>
                <w:sz w:val="18"/>
                <w:szCs w:val="18"/>
              </w:rPr>
              <w:t>32</w:t>
            </w:r>
            <w:r>
              <w:rPr>
                <w:rFonts w:ascii="Arial" w:hAnsi="Arial" w:cs="Arial"/>
                <w:sz w:val="18"/>
                <w:szCs w:val="18"/>
                <w:vertAlign w:val="superscript"/>
              </w:rPr>
              <w:t>1)</w:t>
            </w:r>
          </w:p>
        </w:tc>
        <w:tc>
          <w:tcPr>
            <w:tcW w:w="505" w:type="pct"/>
          </w:tcPr>
          <w:p w:rsidR="00023055" w:rsidRPr="00E11267"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32</w:t>
            </w:r>
            <w:r>
              <w:rPr>
                <w:rFonts w:ascii="Arial" w:hAnsi="Arial" w:cs="Arial"/>
                <w:sz w:val="18"/>
                <w:szCs w:val="18"/>
                <w:vertAlign w:val="superscript"/>
              </w:rPr>
              <w:t>1)</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E11267" w:rsidRDefault="00023055" w:rsidP="00023055">
            <w:pPr>
              <w:spacing w:before="60" w:after="60"/>
              <w:ind w:right="397"/>
              <w:jc w:val="right"/>
              <w:rPr>
                <w:rFonts w:ascii="Arial" w:hAnsi="Arial" w:cs="Arial"/>
                <w:sz w:val="18"/>
                <w:szCs w:val="18"/>
                <w:vertAlign w:val="superscript"/>
              </w:rPr>
            </w:pPr>
            <w:r w:rsidRPr="0053759F">
              <w:rPr>
                <w:rFonts w:ascii="Arial" w:hAnsi="Arial" w:cs="Arial"/>
                <w:sz w:val="18"/>
                <w:szCs w:val="18"/>
              </w:rPr>
              <w:t>33</w:t>
            </w:r>
            <w:r>
              <w:rPr>
                <w:rFonts w:ascii="Arial" w:hAnsi="Arial" w:cs="Arial"/>
                <w:sz w:val="18"/>
                <w:szCs w:val="18"/>
                <w:vertAlign w:val="superscript"/>
              </w:rPr>
              <w:t>)</w:t>
            </w:r>
          </w:p>
        </w:tc>
        <w:tc>
          <w:tcPr>
            <w:tcW w:w="505" w:type="pct"/>
          </w:tcPr>
          <w:p w:rsidR="00023055" w:rsidRPr="00E11267"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2</w:t>
            </w:r>
            <w:r>
              <w:rPr>
                <w:rFonts w:ascii="Arial" w:hAnsi="Arial" w:cs="Arial"/>
                <w:sz w:val="18"/>
                <w:szCs w:val="18"/>
              </w:rPr>
              <w:t>8</w:t>
            </w:r>
          </w:p>
        </w:tc>
        <w:tc>
          <w:tcPr>
            <w:cnfStyle w:val="000010000000" w:firstRow="0" w:lastRow="0" w:firstColumn="0" w:lastColumn="0" w:oddVBand="1" w:evenVBand="0" w:oddHBand="0" w:evenHBand="0" w:firstRowFirstColumn="0" w:firstRowLastColumn="0" w:lastRowFirstColumn="0" w:lastRowLastColumn="0"/>
            <w:tcW w:w="507" w:type="pct"/>
          </w:tcPr>
          <w:p w:rsidR="00023055" w:rsidRPr="003713B7" w:rsidRDefault="00023055" w:rsidP="00023055">
            <w:pPr>
              <w:spacing w:before="60" w:after="60"/>
              <w:ind w:right="397"/>
              <w:jc w:val="right"/>
              <w:rPr>
                <w:rFonts w:ascii="Arial" w:hAnsi="Arial" w:cs="Arial"/>
                <w:sz w:val="18"/>
                <w:szCs w:val="18"/>
              </w:rPr>
            </w:pPr>
            <w:r>
              <w:rPr>
                <w:rFonts w:ascii="Arial" w:hAnsi="Arial" w:cs="Arial"/>
                <w:sz w:val="18"/>
                <w:szCs w:val="18"/>
              </w:rPr>
              <w:t>28</w:t>
            </w:r>
          </w:p>
        </w:tc>
      </w:tr>
      <w:tr w:rsidR="00023055" w:rsidRPr="0053759F" w:rsidTr="00023055">
        <w:tc>
          <w:tcPr>
            <w:cnfStyle w:val="000010000000" w:firstRow="0" w:lastRow="0" w:firstColumn="0" w:lastColumn="0" w:oddVBand="1" w:evenVBand="0" w:oddHBand="0" w:evenHBand="0" w:firstRowFirstColumn="0" w:firstRowLastColumn="0" w:lastRowFirstColumn="0" w:lastRowLastColumn="0"/>
            <w:tcW w:w="1015" w:type="pct"/>
          </w:tcPr>
          <w:p w:rsidR="00023055" w:rsidRPr="00E80F7A" w:rsidRDefault="00023055" w:rsidP="00023055">
            <w:pPr>
              <w:spacing w:before="60" w:after="60"/>
              <w:rPr>
                <w:rFonts w:ascii="Arial" w:hAnsi="Arial" w:cs="Arial"/>
                <w:sz w:val="18"/>
                <w:szCs w:val="18"/>
                <w:vertAlign w:val="superscript"/>
              </w:rPr>
            </w:pPr>
            <w:r w:rsidRPr="0053759F">
              <w:rPr>
                <w:rFonts w:ascii="Arial" w:hAnsi="Arial" w:cs="Arial"/>
                <w:sz w:val="18"/>
                <w:szCs w:val="18"/>
              </w:rPr>
              <w:t xml:space="preserve">Сельские </w:t>
            </w:r>
            <w:r>
              <w:rPr>
                <w:rFonts w:ascii="Arial" w:hAnsi="Arial" w:cs="Arial"/>
                <w:sz w:val="18"/>
                <w:szCs w:val="18"/>
              </w:rPr>
              <w:t>округа</w:t>
            </w:r>
          </w:p>
        </w:tc>
        <w:tc>
          <w:tcPr>
            <w:tcW w:w="448" w:type="pct"/>
          </w:tcPr>
          <w:p w:rsidR="00023055" w:rsidRPr="00E11267"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285</w:t>
            </w:r>
            <w:r>
              <w:rPr>
                <w:rFonts w:ascii="Arial" w:hAnsi="Arial" w:cs="Arial"/>
                <w:sz w:val="18"/>
                <w:szCs w:val="18"/>
                <w:vertAlign w:val="superscript"/>
              </w:rPr>
              <w:t>2)</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E11267" w:rsidRDefault="00023055" w:rsidP="00023055">
            <w:pPr>
              <w:spacing w:before="60" w:after="60"/>
              <w:ind w:right="397"/>
              <w:jc w:val="right"/>
              <w:rPr>
                <w:rFonts w:ascii="Arial" w:hAnsi="Arial" w:cs="Arial"/>
                <w:sz w:val="18"/>
                <w:szCs w:val="18"/>
                <w:vertAlign w:val="superscript"/>
              </w:rPr>
            </w:pPr>
            <w:r w:rsidRPr="0053759F">
              <w:rPr>
                <w:rFonts w:ascii="Arial" w:hAnsi="Arial" w:cs="Arial"/>
                <w:sz w:val="18"/>
                <w:szCs w:val="18"/>
              </w:rPr>
              <w:t>268</w:t>
            </w:r>
            <w:r>
              <w:rPr>
                <w:rFonts w:ascii="Arial" w:hAnsi="Arial" w:cs="Arial"/>
                <w:sz w:val="18"/>
                <w:szCs w:val="18"/>
                <w:vertAlign w:val="superscript"/>
              </w:rPr>
              <w:t>2)</w:t>
            </w:r>
          </w:p>
        </w:tc>
        <w:tc>
          <w:tcPr>
            <w:tcW w:w="505" w:type="pct"/>
          </w:tcPr>
          <w:p w:rsidR="00023055" w:rsidRPr="00E11267"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268</w:t>
            </w:r>
            <w:r>
              <w:rPr>
                <w:rFonts w:ascii="Arial" w:hAnsi="Arial" w:cs="Arial"/>
                <w:sz w:val="18"/>
                <w:szCs w:val="18"/>
                <w:vertAlign w:val="superscript"/>
              </w:rPr>
              <w:t>2)</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271</w:t>
            </w:r>
            <w:r>
              <w:rPr>
                <w:rFonts w:ascii="Arial" w:hAnsi="Arial" w:cs="Arial"/>
                <w:sz w:val="18"/>
                <w:szCs w:val="18"/>
                <w:vertAlign w:val="superscript"/>
              </w:rPr>
              <w:t>2)</w:t>
            </w:r>
          </w:p>
        </w:tc>
        <w:tc>
          <w:tcPr>
            <w:tcW w:w="505" w:type="pct"/>
          </w:tcPr>
          <w:p w:rsidR="00023055" w:rsidRPr="0053759F"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287</w:t>
            </w:r>
            <w:r>
              <w:rPr>
                <w:rFonts w:ascii="Arial" w:hAnsi="Arial" w:cs="Arial"/>
                <w:sz w:val="18"/>
                <w:szCs w:val="18"/>
                <w:vertAlign w:val="superscript"/>
              </w:rPr>
              <w:t>2)</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325</w:t>
            </w:r>
            <w:r>
              <w:rPr>
                <w:rFonts w:ascii="Arial" w:hAnsi="Arial" w:cs="Arial"/>
                <w:sz w:val="18"/>
                <w:szCs w:val="18"/>
                <w:vertAlign w:val="superscript"/>
              </w:rPr>
              <w:t>2)</w:t>
            </w:r>
          </w:p>
        </w:tc>
        <w:tc>
          <w:tcPr>
            <w:tcW w:w="505" w:type="pct"/>
          </w:tcPr>
          <w:p w:rsidR="00023055" w:rsidRPr="0053759F" w:rsidRDefault="00023055" w:rsidP="00023055">
            <w:pPr>
              <w:spacing w:before="60" w:after="60"/>
              <w:ind w:right="39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112</w:t>
            </w:r>
          </w:p>
        </w:tc>
        <w:tc>
          <w:tcPr>
            <w:cnfStyle w:val="000010000000" w:firstRow="0" w:lastRow="0" w:firstColumn="0" w:lastColumn="0" w:oddVBand="1" w:evenVBand="0" w:oddHBand="0" w:evenHBand="0" w:firstRowFirstColumn="0" w:firstRowLastColumn="0" w:lastRowFirstColumn="0" w:lastRowLastColumn="0"/>
            <w:tcW w:w="507" w:type="pct"/>
          </w:tcPr>
          <w:p w:rsidR="00023055" w:rsidRPr="009C11F4" w:rsidRDefault="00023055" w:rsidP="00023055">
            <w:pPr>
              <w:spacing w:before="60" w:after="60"/>
              <w:ind w:right="397"/>
              <w:jc w:val="right"/>
              <w:rPr>
                <w:rFonts w:ascii="Arial" w:hAnsi="Arial" w:cs="Arial"/>
                <w:sz w:val="18"/>
                <w:szCs w:val="18"/>
              </w:rPr>
            </w:pPr>
            <w:r>
              <w:rPr>
                <w:rFonts w:ascii="Arial" w:hAnsi="Arial" w:cs="Arial"/>
                <w:sz w:val="18"/>
                <w:szCs w:val="18"/>
              </w:rPr>
              <w:t>112</w:t>
            </w:r>
          </w:p>
        </w:tc>
      </w:tr>
      <w:tr w:rsidR="00023055"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5" w:type="pct"/>
          </w:tcPr>
          <w:p w:rsidR="00023055" w:rsidRPr="0053759F" w:rsidRDefault="00023055" w:rsidP="00023055">
            <w:pPr>
              <w:spacing w:before="60" w:after="60"/>
              <w:rPr>
                <w:rFonts w:ascii="Arial" w:hAnsi="Arial" w:cs="Arial"/>
                <w:sz w:val="18"/>
                <w:szCs w:val="18"/>
              </w:rPr>
            </w:pPr>
            <w:r w:rsidRPr="0053759F">
              <w:rPr>
                <w:rFonts w:ascii="Arial" w:hAnsi="Arial" w:cs="Arial"/>
                <w:sz w:val="18"/>
                <w:szCs w:val="18"/>
              </w:rPr>
              <w:t>Сельские населенные пункты</w:t>
            </w:r>
          </w:p>
        </w:tc>
        <w:tc>
          <w:tcPr>
            <w:tcW w:w="448" w:type="pct"/>
          </w:tcPr>
          <w:p w:rsidR="00023055" w:rsidRPr="0053759F"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1845</w:t>
            </w:r>
          </w:p>
        </w:tc>
        <w:tc>
          <w:tcPr>
            <w:tcW w:w="505" w:type="pct"/>
          </w:tcPr>
          <w:p w:rsidR="00023055" w:rsidRPr="0053759F"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1224</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1071</w:t>
            </w:r>
          </w:p>
        </w:tc>
        <w:tc>
          <w:tcPr>
            <w:tcW w:w="505" w:type="pct"/>
          </w:tcPr>
          <w:p w:rsidR="00023055" w:rsidRPr="0053759F"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987</w:t>
            </w:r>
          </w:p>
        </w:tc>
        <w:tc>
          <w:tcPr>
            <w:cnfStyle w:val="000010000000" w:firstRow="0" w:lastRow="0" w:firstColumn="0" w:lastColumn="0" w:oddVBand="1" w:evenVBand="0" w:oddHBand="0" w:evenHBand="0" w:firstRowFirstColumn="0" w:firstRowLastColumn="0" w:lastRowFirstColumn="0" w:lastRowLastColumn="0"/>
            <w:tcW w:w="505" w:type="pct"/>
          </w:tcPr>
          <w:p w:rsidR="00023055" w:rsidRPr="0053759F" w:rsidRDefault="00023055" w:rsidP="00023055">
            <w:pPr>
              <w:spacing w:before="60" w:after="60"/>
              <w:ind w:right="397"/>
              <w:jc w:val="right"/>
              <w:rPr>
                <w:rFonts w:ascii="Arial" w:hAnsi="Arial" w:cs="Arial"/>
                <w:sz w:val="18"/>
                <w:szCs w:val="18"/>
              </w:rPr>
            </w:pPr>
            <w:r w:rsidRPr="0053759F">
              <w:rPr>
                <w:rFonts w:ascii="Arial" w:hAnsi="Arial" w:cs="Arial"/>
                <w:sz w:val="18"/>
                <w:szCs w:val="18"/>
              </w:rPr>
              <w:t>980</w:t>
            </w:r>
          </w:p>
        </w:tc>
        <w:tc>
          <w:tcPr>
            <w:tcW w:w="505" w:type="pct"/>
          </w:tcPr>
          <w:p w:rsidR="00023055" w:rsidRPr="003713B7" w:rsidRDefault="00023055" w:rsidP="00023055">
            <w:pPr>
              <w:spacing w:before="60" w:after="60"/>
              <w:ind w:right="39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vertAlign w:val="superscript"/>
              </w:rPr>
            </w:pPr>
            <w:r>
              <w:rPr>
                <w:rFonts w:ascii="Arial" w:hAnsi="Arial" w:cs="Arial"/>
                <w:sz w:val="18"/>
                <w:szCs w:val="18"/>
              </w:rPr>
              <w:t xml:space="preserve">– </w:t>
            </w:r>
            <w:r>
              <w:rPr>
                <w:rFonts w:ascii="Arial" w:hAnsi="Arial" w:cs="Arial"/>
                <w:sz w:val="18"/>
                <w:szCs w:val="18"/>
                <w:vertAlign w:val="superscript"/>
              </w:rPr>
              <w:t>4</w:t>
            </w:r>
            <w:proofErr w:type="gramStart"/>
            <w:r>
              <w:rPr>
                <w:rFonts w:ascii="Arial" w:hAnsi="Arial" w:cs="Arial"/>
                <w:sz w:val="18"/>
                <w:szCs w:val="18"/>
                <w:vertAlign w:val="superscript"/>
              </w:rPr>
              <w:t xml:space="preserve"> )</w:t>
            </w:r>
            <w:proofErr w:type="gramEnd"/>
          </w:p>
        </w:tc>
        <w:tc>
          <w:tcPr>
            <w:cnfStyle w:val="000010000000" w:firstRow="0" w:lastRow="0" w:firstColumn="0" w:lastColumn="0" w:oddVBand="1" w:evenVBand="0" w:oddHBand="0" w:evenHBand="0" w:firstRowFirstColumn="0" w:firstRowLastColumn="0" w:lastRowFirstColumn="0" w:lastRowLastColumn="0"/>
            <w:tcW w:w="507" w:type="pct"/>
          </w:tcPr>
          <w:p w:rsidR="00023055" w:rsidRPr="003713B7" w:rsidRDefault="00023055" w:rsidP="00023055">
            <w:pPr>
              <w:spacing w:before="60" w:after="60"/>
              <w:ind w:right="397"/>
              <w:jc w:val="right"/>
              <w:rPr>
                <w:rFonts w:ascii="Arial" w:hAnsi="Arial" w:cs="Arial"/>
                <w:sz w:val="18"/>
                <w:szCs w:val="18"/>
              </w:rPr>
            </w:pPr>
            <w:r>
              <w:rPr>
                <w:rFonts w:ascii="Arial" w:hAnsi="Arial" w:cs="Arial"/>
                <w:sz w:val="18"/>
                <w:szCs w:val="18"/>
              </w:rPr>
              <w:t>–</w:t>
            </w:r>
            <w:r>
              <w:rPr>
                <w:rFonts w:ascii="Arial" w:hAnsi="Arial" w:cs="Arial"/>
                <w:sz w:val="18"/>
                <w:szCs w:val="18"/>
                <w:vertAlign w:val="superscript"/>
              </w:rPr>
              <w:t>4)</w:t>
            </w:r>
          </w:p>
        </w:tc>
      </w:tr>
      <w:tr w:rsidR="00023055" w:rsidRPr="0053759F" w:rsidTr="00023055">
        <w:tc>
          <w:tcPr>
            <w:cnfStyle w:val="000010000000" w:firstRow="0" w:lastRow="0" w:firstColumn="0" w:lastColumn="0" w:oddVBand="1" w:evenVBand="0" w:oddHBand="0" w:evenHBand="0" w:firstRowFirstColumn="0" w:firstRowLastColumn="0" w:lastRowFirstColumn="0" w:lastRowLastColumn="0"/>
            <w:tcW w:w="5000" w:type="pct"/>
            <w:gridSpan w:val="9"/>
          </w:tcPr>
          <w:p w:rsidR="00023055" w:rsidRPr="0053759F" w:rsidRDefault="00023055" w:rsidP="00023055">
            <w:pPr>
              <w:spacing w:before="60" w:after="60"/>
              <w:rPr>
                <w:rFonts w:ascii="Arial" w:hAnsi="Arial" w:cs="Arial"/>
                <w:sz w:val="18"/>
                <w:szCs w:val="18"/>
              </w:rPr>
            </w:pPr>
            <w:r w:rsidRPr="0053759F">
              <w:rPr>
                <w:rFonts w:ascii="Arial" w:hAnsi="Arial" w:cs="Arial"/>
                <w:sz w:val="18"/>
                <w:szCs w:val="18"/>
                <w:vertAlign w:val="superscript"/>
              </w:rPr>
              <w:t>1)</w:t>
            </w:r>
            <w:r>
              <w:rPr>
                <w:rFonts w:ascii="Arial" w:hAnsi="Arial" w:cs="Arial"/>
                <w:sz w:val="18"/>
                <w:szCs w:val="18"/>
              </w:rPr>
              <w:t xml:space="preserve">поселки городского типа </w:t>
            </w:r>
          </w:p>
        </w:tc>
      </w:tr>
      <w:tr w:rsidR="00023055"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9"/>
          </w:tcPr>
          <w:p w:rsidR="00023055" w:rsidRPr="00E11267" w:rsidRDefault="00023055" w:rsidP="00023055">
            <w:pPr>
              <w:spacing w:before="60" w:after="60"/>
              <w:rPr>
                <w:rFonts w:ascii="Arial" w:hAnsi="Arial" w:cs="Arial"/>
                <w:sz w:val="18"/>
                <w:szCs w:val="18"/>
              </w:rPr>
            </w:pPr>
            <w:r w:rsidRPr="00E11267">
              <w:rPr>
                <w:rFonts w:ascii="Arial" w:hAnsi="Arial" w:cs="Arial"/>
                <w:sz w:val="18"/>
                <w:szCs w:val="18"/>
                <w:vertAlign w:val="superscript"/>
              </w:rPr>
              <w:t>2)</w:t>
            </w:r>
            <w:r>
              <w:rPr>
                <w:rFonts w:ascii="Arial" w:hAnsi="Arial" w:cs="Arial"/>
                <w:sz w:val="18"/>
                <w:szCs w:val="18"/>
              </w:rPr>
              <w:t>сельские советы</w:t>
            </w:r>
          </w:p>
        </w:tc>
      </w:tr>
      <w:tr w:rsidR="00023055" w:rsidRPr="0053759F" w:rsidTr="00023055">
        <w:tc>
          <w:tcPr>
            <w:cnfStyle w:val="000010000000" w:firstRow="0" w:lastRow="0" w:firstColumn="0" w:lastColumn="0" w:oddVBand="1" w:evenVBand="0" w:oddHBand="0" w:evenHBand="0" w:firstRowFirstColumn="0" w:firstRowLastColumn="0" w:lastRowFirstColumn="0" w:lastRowLastColumn="0"/>
            <w:tcW w:w="5000" w:type="pct"/>
            <w:gridSpan w:val="9"/>
          </w:tcPr>
          <w:p w:rsidR="00023055" w:rsidRPr="00A45803" w:rsidRDefault="00023055" w:rsidP="00023055">
            <w:pPr>
              <w:spacing w:before="60" w:after="60"/>
              <w:rPr>
                <w:rFonts w:ascii="Arial" w:hAnsi="Arial" w:cs="Arial"/>
                <w:sz w:val="18"/>
                <w:szCs w:val="18"/>
              </w:rPr>
            </w:pPr>
            <w:r>
              <w:rPr>
                <w:rFonts w:ascii="Arial" w:hAnsi="Arial" w:cs="Arial"/>
                <w:sz w:val="18"/>
                <w:szCs w:val="18"/>
                <w:vertAlign w:val="superscript"/>
              </w:rPr>
              <w:t>3)</w:t>
            </w:r>
            <w:r>
              <w:rPr>
                <w:rFonts w:ascii="Arial" w:hAnsi="Arial" w:cs="Arial"/>
                <w:sz w:val="18"/>
                <w:szCs w:val="18"/>
              </w:rPr>
              <w:t xml:space="preserve"> в соответствии с ст.5 гл. 2 Закона  Ульяновской области  «Об административно-территориальном устройстве Ульяновской области» №126-ЗО от 03.10.2006 г. внутр</w:t>
            </w:r>
            <w:r>
              <w:rPr>
                <w:rFonts w:ascii="Arial" w:hAnsi="Arial" w:cs="Arial"/>
                <w:sz w:val="18"/>
                <w:szCs w:val="18"/>
              </w:rPr>
              <w:t>и</w:t>
            </w:r>
            <w:r>
              <w:rPr>
                <w:rFonts w:ascii="Arial" w:hAnsi="Arial" w:cs="Arial"/>
                <w:sz w:val="18"/>
                <w:szCs w:val="18"/>
              </w:rPr>
              <w:t>городские районы  города областного подчинения относятся к административно-территориальным  единицам.</w:t>
            </w:r>
          </w:p>
          <w:p w:rsidR="00023055" w:rsidRPr="00B74DC7" w:rsidRDefault="00023055" w:rsidP="00023055">
            <w:pPr>
              <w:spacing w:before="60" w:after="60"/>
              <w:rPr>
                <w:rFonts w:ascii="Arial" w:hAnsi="Arial" w:cs="Arial"/>
                <w:sz w:val="18"/>
                <w:szCs w:val="18"/>
              </w:rPr>
            </w:pPr>
            <w:r w:rsidRPr="00E86F39">
              <w:rPr>
                <w:rFonts w:ascii="Arial" w:hAnsi="Arial" w:cs="Arial"/>
                <w:sz w:val="18"/>
                <w:szCs w:val="18"/>
                <w:vertAlign w:val="superscript"/>
              </w:rPr>
              <w:t>4</w:t>
            </w:r>
            <w:r>
              <w:rPr>
                <w:rFonts w:ascii="Arial" w:hAnsi="Arial" w:cs="Arial"/>
                <w:sz w:val="18"/>
                <w:szCs w:val="18"/>
                <w:vertAlign w:val="superscript"/>
              </w:rPr>
              <w:t xml:space="preserve">) </w:t>
            </w:r>
            <w:r>
              <w:rPr>
                <w:rFonts w:ascii="Arial" w:hAnsi="Arial" w:cs="Arial"/>
                <w:sz w:val="18"/>
                <w:szCs w:val="18"/>
              </w:rPr>
              <w:t>в соответствии со ст.6 гл. 2 Закона  Ульяновской области  «Об административно-территориальном устройстве Ульяновской области» №126-ЗО от 03.10.2006 г</w:t>
            </w:r>
            <w:proofErr w:type="gramStart"/>
            <w:r>
              <w:rPr>
                <w:rFonts w:ascii="Arial" w:hAnsi="Arial" w:cs="Arial"/>
                <w:sz w:val="18"/>
                <w:szCs w:val="18"/>
              </w:rPr>
              <w:t xml:space="preserve"> .</w:t>
            </w:r>
            <w:proofErr w:type="gramEnd"/>
            <w:r>
              <w:rPr>
                <w:rFonts w:ascii="Arial" w:hAnsi="Arial" w:cs="Arial"/>
                <w:sz w:val="18"/>
                <w:szCs w:val="18"/>
              </w:rPr>
              <w:t xml:space="preserve">  сел</w:t>
            </w:r>
            <w:r>
              <w:rPr>
                <w:rFonts w:ascii="Arial" w:hAnsi="Arial" w:cs="Arial"/>
                <w:sz w:val="18"/>
                <w:szCs w:val="18"/>
              </w:rPr>
              <w:t>ь</w:t>
            </w:r>
            <w:r>
              <w:rPr>
                <w:rFonts w:ascii="Arial" w:hAnsi="Arial" w:cs="Arial"/>
                <w:sz w:val="18"/>
                <w:szCs w:val="18"/>
              </w:rPr>
              <w:t xml:space="preserve">ские населенные пункты  относятся к видам населенных пунктов, </w:t>
            </w:r>
            <w:r w:rsidRPr="00B74DC7">
              <w:rPr>
                <w:rFonts w:ascii="Arial" w:hAnsi="Arial" w:cs="Arial"/>
                <w:i/>
                <w:sz w:val="18"/>
                <w:szCs w:val="18"/>
              </w:rPr>
              <w:t>не являющихся административно- территориальными еди</w:t>
            </w:r>
            <w:r>
              <w:rPr>
                <w:rFonts w:ascii="Arial" w:hAnsi="Arial" w:cs="Arial"/>
                <w:i/>
                <w:sz w:val="18"/>
                <w:szCs w:val="18"/>
              </w:rPr>
              <w:t>н</w:t>
            </w:r>
            <w:r w:rsidRPr="00B74DC7">
              <w:rPr>
                <w:rFonts w:ascii="Arial" w:hAnsi="Arial" w:cs="Arial"/>
                <w:i/>
                <w:sz w:val="18"/>
                <w:szCs w:val="18"/>
              </w:rPr>
              <w:t>ицами</w:t>
            </w:r>
          </w:p>
        </w:tc>
      </w:tr>
    </w:tbl>
    <w:p w:rsidR="00A97E1C" w:rsidRDefault="00A97E1C" w:rsidP="00023055">
      <w:pPr>
        <w:pStyle w:val="1"/>
        <w:rPr>
          <w:sz w:val="22"/>
        </w:rPr>
      </w:pPr>
    </w:p>
    <w:p w:rsidR="002130E7" w:rsidRDefault="002130E7">
      <w:pPr>
        <w:rPr>
          <w:rFonts w:ascii="Arial" w:hAnsi="Arial" w:cs="Arial"/>
          <w:b/>
          <w:bCs/>
          <w:sz w:val="22"/>
        </w:rPr>
      </w:pPr>
      <w:r>
        <w:rPr>
          <w:sz w:val="22"/>
        </w:rPr>
        <w:br w:type="page"/>
      </w:r>
    </w:p>
    <w:p w:rsidR="00A97E1C" w:rsidRDefault="0002306A">
      <w:pPr>
        <w:pStyle w:val="8"/>
        <w:rPr>
          <w:sz w:val="22"/>
        </w:rPr>
      </w:pPr>
      <w:r>
        <w:rPr>
          <w:sz w:val="22"/>
        </w:rPr>
        <w:lastRenderedPageBreak/>
        <w:t>ГОРОДА ОБЛАСТНОГО ПОДЧИНЕНИЯ</w:t>
      </w:r>
    </w:p>
    <w:p w:rsidR="00A97E1C" w:rsidRDefault="00A97E1C">
      <w:pPr>
        <w:rPr>
          <w:rFonts w:ascii="Arial" w:hAnsi="Arial" w:cs="Arial"/>
          <w:b/>
          <w:sz w:val="22"/>
        </w:rPr>
      </w:pPr>
    </w:p>
    <w:bookmarkEnd w:id="0"/>
    <w:bookmarkEnd w:id="1"/>
    <w:p w:rsidR="0044009A" w:rsidRDefault="0044009A" w:rsidP="0044009A">
      <w:pPr>
        <w:ind w:left="709"/>
        <w:rPr>
          <w:rFonts w:ascii="Arial" w:hAnsi="Arial" w:cs="Arial"/>
          <w:b/>
          <w:sz w:val="22"/>
        </w:rPr>
      </w:pPr>
      <w:r>
        <w:rPr>
          <w:rFonts w:ascii="Arial" w:hAnsi="Arial" w:cs="Arial"/>
          <w:b/>
          <w:sz w:val="22"/>
        </w:rPr>
        <w:t>УЛЬЯНОВСК</w:t>
      </w:r>
    </w:p>
    <w:p w:rsidR="0044009A" w:rsidRDefault="0044009A" w:rsidP="0044009A">
      <w:pPr>
        <w:rPr>
          <w:rFonts w:ascii="Arial" w:hAnsi="Arial" w:cs="Arial"/>
          <w:sz w:val="22"/>
        </w:rPr>
      </w:pPr>
    </w:p>
    <w:tbl>
      <w:tblPr>
        <w:tblW w:w="5000" w:type="pct"/>
        <w:jc w:val="center"/>
        <w:tblLook w:val="0000" w:firstRow="0" w:lastRow="0" w:firstColumn="0" w:lastColumn="0" w:noHBand="0" w:noVBand="0"/>
      </w:tblPr>
      <w:tblGrid>
        <w:gridCol w:w="2945"/>
        <w:gridCol w:w="10106"/>
        <w:gridCol w:w="1453"/>
      </w:tblGrid>
      <w:tr w:rsidR="0044009A" w:rsidTr="0044009A">
        <w:trPr>
          <w:trHeight w:val="1405"/>
          <w:jc w:val="center"/>
        </w:trPr>
        <w:tc>
          <w:tcPr>
            <w:tcW w:w="1015" w:type="pct"/>
            <w:vMerge w:val="restart"/>
          </w:tcPr>
          <w:p w:rsidR="0044009A" w:rsidRDefault="0044009A" w:rsidP="0044009A">
            <w:pPr>
              <w:spacing w:before="60" w:after="60"/>
              <w:jc w:val="center"/>
              <w:rPr>
                <w:rFonts w:ascii="Arial" w:hAnsi="Arial" w:cs="Arial"/>
                <w:b/>
                <w:sz w:val="22"/>
              </w:rPr>
            </w:pPr>
            <w:r>
              <w:rPr>
                <w:rFonts w:ascii="Arial" w:hAnsi="Arial" w:cs="Arial"/>
                <w:b/>
                <w:noProof/>
                <w:sz w:val="22"/>
              </w:rPr>
              <w:drawing>
                <wp:inline distT="0" distB="0" distL="0" distR="0">
                  <wp:extent cx="1049020" cy="1203325"/>
                  <wp:effectExtent l="19050" t="0" r="0" b="0"/>
                  <wp:docPr id="26" name="Рисунок 35" descr="герб_Ульянов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герб_Ульяновска.jpg"/>
                          <pic:cNvPicPr>
                            <a:picLocks noChangeAspect="1" noChangeArrowheads="1"/>
                          </pic:cNvPicPr>
                        </pic:nvPicPr>
                        <pic:blipFill>
                          <a:blip r:embed="rId21"/>
                          <a:srcRect/>
                          <a:stretch>
                            <a:fillRect/>
                          </a:stretch>
                        </pic:blipFill>
                        <pic:spPr bwMode="auto">
                          <a:xfrm>
                            <a:off x="0" y="0"/>
                            <a:ext cx="1049020" cy="1203325"/>
                          </a:xfrm>
                          <a:prstGeom prst="rect">
                            <a:avLst/>
                          </a:prstGeom>
                          <a:noFill/>
                          <a:ln w="9525">
                            <a:noFill/>
                            <a:miter lim="800000"/>
                            <a:headEnd/>
                            <a:tailEnd/>
                          </a:ln>
                        </pic:spPr>
                      </pic:pic>
                    </a:graphicData>
                  </a:graphic>
                </wp:inline>
              </w:drawing>
            </w:r>
          </w:p>
        </w:tc>
        <w:tc>
          <w:tcPr>
            <w:tcW w:w="3484" w:type="pct"/>
          </w:tcPr>
          <w:p w:rsidR="0044009A" w:rsidRDefault="0044009A" w:rsidP="0044009A">
            <w:pPr>
              <w:spacing w:before="60" w:after="60"/>
              <w:rPr>
                <w:rFonts w:ascii="Arial" w:hAnsi="Arial" w:cs="Arial"/>
                <w:b/>
                <w:sz w:val="22"/>
              </w:rPr>
            </w:pPr>
            <w:r>
              <w:rPr>
                <w:rFonts w:ascii="Arial" w:hAnsi="Arial" w:cs="Arial"/>
                <w:b/>
                <w:sz w:val="22"/>
              </w:rPr>
              <w:t xml:space="preserve">Население </w:t>
            </w:r>
          </w:p>
          <w:p w:rsidR="0044009A" w:rsidRDefault="0044009A" w:rsidP="0044009A">
            <w:pPr>
              <w:spacing w:before="60" w:after="60"/>
              <w:rPr>
                <w:rFonts w:ascii="Arial" w:hAnsi="Arial" w:cs="Arial"/>
                <w:sz w:val="22"/>
              </w:rPr>
            </w:pPr>
            <w:r>
              <w:rPr>
                <w:rFonts w:ascii="Arial" w:hAnsi="Arial" w:cs="Arial"/>
                <w:sz w:val="22"/>
              </w:rPr>
              <w:t>(численность постоянного населения по г. Ульяновску и подчиненным его администрации населенным пунктам на 1 января 2012 года, тыс. человек)</w:t>
            </w:r>
          </w:p>
        </w:tc>
        <w:tc>
          <w:tcPr>
            <w:tcW w:w="501" w:type="pct"/>
            <w:vAlign w:val="center"/>
          </w:tcPr>
          <w:p w:rsidR="0044009A" w:rsidRDefault="0044009A" w:rsidP="0044009A">
            <w:pPr>
              <w:spacing w:before="60" w:after="60"/>
              <w:jc w:val="center"/>
              <w:rPr>
                <w:rFonts w:ascii="Arial" w:hAnsi="Arial" w:cs="Arial"/>
                <w:b/>
                <w:sz w:val="22"/>
              </w:rPr>
            </w:pPr>
            <w:r>
              <w:rPr>
                <w:rFonts w:ascii="Arial" w:hAnsi="Arial" w:cs="Arial"/>
                <w:b/>
                <w:sz w:val="22"/>
              </w:rPr>
              <w:t>637,2</w:t>
            </w:r>
          </w:p>
        </w:tc>
      </w:tr>
      <w:tr w:rsidR="0044009A" w:rsidTr="0044009A">
        <w:trPr>
          <w:jc w:val="center"/>
        </w:trPr>
        <w:tc>
          <w:tcPr>
            <w:tcW w:w="1015" w:type="pct"/>
            <w:vMerge/>
          </w:tcPr>
          <w:p w:rsidR="0044009A" w:rsidRPr="00A5393A" w:rsidRDefault="0044009A" w:rsidP="0044009A">
            <w:pPr>
              <w:spacing w:before="60" w:after="60"/>
              <w:rPr>
                <w:rFonts w:ascii="Arial" w:hAnsi="Arial" w:cs="Arial"/>
                <w:b/>
                <w:sz w:val="22"/>
                <w:szCs w:val="22"/>
              </w:rPr>
            </w:pPr>
          </w:p>
        </w:tc>
        <w:tc>
          <w:tcPr>
            <w:tcW w:w="3484" w:type="pct"/>
          </w:tcPr>
          <w:p w:rsidR="0044009A" w:rsidRPr="00A5393A" w:rsidRDefault="0044009A" w:rsidP="0044009A">
            <w:pPr>
              <w:spacing w:before="60" w:after="60"/>
              <w:rPr>
                <w:rFonts w:ascii="Arial" w:hAnsi="Arial" w:cs="Arial"/>
                <w:sz w:val="22"/>
                <w:szCs w:val="22"/>
              </w:rPr>
            </w:pPr>
            <w:r w:rsidRPr="00A5393A">
              <w:rPr>
                <w:rFonts w:ascii="Arial" w:hAnsi="Arial" w:cs="Arial"/>
                <w:b/>
                <w:sz w:val="22"/>
                <w:szCs w:val="22"/>
              </w:rPr>
              <w:t xml:space="preserve">Территория </w:t>
            </w:r>
            <w:r w:rsidRPr="00A5393A">
              <w:rPr>
                <w:rFonts w:ascii="Arial" w:hAnsi="Arial" w:cs="Arial"/>
                <w:bCs/>
                <w:sz w:val="22"/>
                <w:szCs w:val="22"/>
              </w:rPr>
              <w:t xml:space="preserve">(общая площадь в пределах городской черты), </w:t>
            </w:r>
            <w:r w:rsidRPr="00A5393A">
              <w:rPr>
                <w:rFonts w:ascii="Arial" w:hAnsi="Arial" w:cs="Arial"/>
                <w:sz w:val="22"/>
                <w:szCs w:val="22"/>
              </w:rPr>
              <w:t xml:space="preserve">кв. км </w:t>
            </w:r>
          </w:p>
        </w:tc>
        <w:tc>
          <w:tcPr>
            <w:tcW w:w="501" w:type="pct"/>
          </w:tcPr>
          <w:p w:rsidR="0044009A" w:rsidRDefault="0044009A" w:rsidP="0044009A">
            <w:pPr>
              <w:spacing w:before="60" w:after="60"/>
              <w:jc w:val="center"/>
              <w:rPr>
                <w:rFonts w:ascii="Arial" w:hAnsi="Arial" w:cs="Arial"/>
                <w:b/>
                <w:sz w:val="22"/>
              </w:rPr>
            </w:pPr>
            <w:r>
              <w:rPr>
                <w:rFonts w:ascii="Arial" w:hAnsi="Arial" w:cs="Arial"/>
                <w:b/>
                <w:sz w:val="22"/>
              </w:rPr>
              <w:t>316,9</w:t>
            </w:r>
          </w:p>
        </w:tc>
      </w:tr>
    </w:tbl>
    <w:p w:rsidR="0044009A" w:rsidRDefault="0044009A" w:rsidP="0044009A">
      <w:pPr>
        <w:rPr>
          <w:rFonts w:ascii="Arial" w:hAnsi="Arial" w:cs="Arial"/>
          <w:sz w:val="22"/>
        </w:rPr>
      </w:pPr>
    </w:p>
    <w:p w:rsidR="0044009A" w:rsidRPr="009B2DA1" w:rsidRDefault="0044009A" w:rsidP="0044009A">
      <w:pPr>
        <w:ind w:firstLine="720"/>
        <w:jc w:val="both"/>
        <w:rPr>
          <w:rFonts w:ascii="Arial" w:hAnsi="Arial" w:cs="Arial"/>
          <w:sz w:val="22"/>
          <w:szCs w:val="22"/>
        </w:rPr>
      </w:pPr>
      <w:r w:rsidRPr="009B2DA1">
        <w:rPr>
          <w:rFonts w:ascii="Arial" w:hAnsi="Arial" w:cs="Arial"/>
          <w:sz w:val="22"/>
          <w:szCs w:val="22"/>
        </w:rPr>
        <w:t>Ульяновск – город в Российской Федерации, являющийся административным цент</w:t>
      </w:r>
      <w:r>
        <w:rPr>
          <w:rFonts w:ascii="Arial" w:hAnsi="Arial" w:cs="Arial"/>
          <w:sz w:val="22"/>
          <w:szCs w:val="22"/>
        </w:rPr>
        <w:t>ром Ульяновской области, входяще</w:t>
      </w:r>
      <w:r w:rsidRPr="009B2DA1">
        <w:rPr>
          <w:rFonts w:ascii="Arial" w:hAnsi="Arial" w:cs="Arial"/>
          <w:sz w:val="22"/>
          <w:szCs w:val="22"/>
        </w:rPr>
        <w:t xml:space="preserve">й в состав Приволжского федерального округа. Он расположен на берегах </w:t>
      </w:r>
      <w:proofErr w:type="spellStart"/>
      <w:r w:rsidRPr="009B2DA1">
        <w:rPr>
          <w:rFonts w:ascii="Arial" w:hAnsi="Arial" w:cs="Arial"/>
          <w:sz w:val="22"/>
          <w:szCs w:val="22"/>
        </w:rPr>
        <w:t>Свияги</w:t>
      </w:r>
      <w:proofErr w:type="spellEnd"/>
      <w:r w:rsidRPr="009B2DA1">
        <w:rPr>
          <w:rFonts w:ascii="Arial" w:hAnsi="Arial" w:cs="Arial"/>
          <w:sz w:val="22"/>
          <w:szCs w:val="22"/>
        </w:rPr>
        <w:t xml:space="preserve"> и Волги в районе Куйбышевского водохранилища на Привол</w:t>
      </w:r>
      <w:r w:rsidRPr="009B2DA1">
        <w:rPr>
          <w:rFonts w:ascii="Arial" w:hAnsi="Arial" w:cs="Arial"/>
          <w:sz w:val="22"/>
          <w:szCs w:val="22"/>
        </w:rPr>
        <w:t>ж</w:t>
      </w:r>
      <w:r w:rsidRPr="009B2DA1">
        <w:rPr>
          <w:rFonts w:ascii="Arial" w:hAnsi="Arial" w:cs="Arial"/>
          <w:sz w:val="22"/>
          <w:szCs w:val="22"/>
        </w:rPr>
        <w:t xml:space="preserve">ской возвышенности. Удаленность от Москвы – 893 км к востоку. </w:t>
      </w:r>
    </w:p>
    <w:p w:rsidR="0044009A" w:rsidRPr="009B2DA1" w:rsidRDefault="0044009A" w:rsidP="0044009A">
      <w:pPr>
        <w:ind w:firstLine="720"/>
        <w:jc w:val="both"/>
        <w:rPr>
          <w:rFonts w:ascii="Arial" w:hAnsi="Arial" w:cs="Arial"/>
          <w:sz w:val="22"/>
          <w:szCs w:val="22"/>
        </w:rPr>
      </w:pPr>
      <w:r w:rsidRPr="009B2DA1">
        <w:rPr>
          <w:rFonts w:ascii="Arial" w:hAnsi="Arial" w:cs="Arial"/>
          <w:sz w:val="22"/>
          <w:szCs w:val="22"/>
        </w:rPr>
        <w:t xml:space="preserve">Город был основан в 1648 году </w:t>
      </w:r>
      <w:proofErr w:type="spellStart"/>
      <w:r w:rsidRPr="009B2DA1">
        <w:rPr>
          <w:rFonts w:ascii="Arial" w:hAnsi="Arial" w:cs="Arial"/>
          <w:sz w:val="22"/>
          <w:szCs w:val="22"/>
        </w:rPr>
        <w:t>окольничьим</w:t>
      </w:r>
      <w:proofErr w:type="spellEnd"/>
      <w:r w:rsidRPr="009B2DA1">
        <w:rPr>
          <w:rFonts w:ascii="Arial" w:hAnsi="Arial" w:cs="Arial"/>
          <w:sz w:val="22"/>
          <w:szCs w:val="22"/>
        </w:rPr>
        <w:t xml:space="preserve"> Богданом Хитрово в качестве оборонительной крепости по указу царя Алексея М</w:t>
      </w:r>
      <w:r w:rsidRPr="009B2DA1">
        <w:rPr>
          <w:rFonts w:ascii="Arial" w:hAnsi="Arial" w:cs="Arial"/>
          <w:sz w:val="22"/>
          <w:szCs w:val="22"/>
        </w:rPr>
        <w:t>и</w:t>
      </w:r>
      <w:r w:rsidRPr="009B2DA1">
        <w:rPr>
          <w:rFonts w:ascii="Arial" w:hAnsi="Arial" w:cs="Arial"/>
          <w:sz w:val="22"/>
          <w:szCs w:val="22"/>
        </w:rPr>
        <w:t xml:space="preserve">хайловича для защиты от набегов кочевников восточных границ Московского государства. Первоначально город назывался </w:t>
      </w:r>
      <w:proofErr w:type="spellStart"/>
      <w:r w:rsidRPr="009B2DA1">
        <w:rPr>
          <w:rFonts w:ascii="Arial" w:hAnsi="Arial" w:cs="Arial"/>
          <w:sz w:val="22"/>
          <w:szCs w:val="22"/>
        </w:rPr>
        <w:t>Синбирск</w:t>
      </w:r>
      <w:proofErr w:type="spellEnd"/>
      <w:r w:rsidRPr="009B2DA1">
        <w:rPr>
          <w:rFonts w:ascii="Arial" w:hAnsi="Arial" w:cs="Arial"/>
          <w:sz w:val="22"/>
          <w:szCs w:val="22"/>
        </w:rPr>
        <w:t xml:space="preserve">, возможно, по имени, проживающего в этих местах князя волжских булгар </w:t>
      </w:r>
      <w:proofErr w:type="spellStart"/>
      <w:r w:rsidRPr="009B2DA1">
        <w:rPr>
          <w:rFonts w:ascii="Arial" w:hAnsi="Arial" w:cs="Arial"/>
          <w:sz w:val="22"/>
          <w:szCs w:val="22"/>
        </w:rPr>
        <w:t>Синбира</w:t>
      </w:r>
      <w:proofErr w:type="spellEnd"/>
      <w:r w:rsidRPr="009B2DA1">
        <w:rPr>
          <w:rFonts w:ascii="Arial" w:hAnsi="Arial" w:cs="Arial"/>
          <w:sz w:val="22"/>
          <w:szCs w:val="22"/>
        </w:rPr>
        <w:t xml:space="preserve"> (</w:t>
      </w:r>
      <w:proofErr w:type="spellStart"/>
      <w:r w:rsidRPr="009B2DA1">
        <w:rPr>
          <w:rFonts w:ascii="Arial" w:hAnsi="Arial" w:cs="Arial"/>
          <w:sz w:val="22"/>
          <w:szCs w:val="22"/>
        </w:rPr>
        <w:t>Симбира</w:t>
      </w:r>
      <w:proofErr w:type="spellEnd"/>
      <w:r w:rsidRPr="009B2DA1">
        <w:rPr>
          <w:rFonts w:ascii="Arial" w:hAnsi="Arial" w:cs="Arial"/>
          <w:sz w:val="22"/>
          <w:szCs w:val="22"/>
        </w:rPr>
        <w:t>). С 1780 года город упоминается Симби</w:t>
      </w:r>
      <w:r w:rsidRPr="009B2DA1">
        <w:rPr>
          <w:rFonts w:ascii="Arial" w:hAnsi="Arial" w:cs="Arial"/>
          <w:sz w:val="22"/>
          <w:szCs w:val="22"/>
        </w:rPr>
        <w:t>р</w:t>
      </w:r>
      <w:r w:rsidRPr="009B2DA1">
        <w:rPr>
          <w:rFonts w:ascii="Arial" w:hAnsi="Arial" w:cs="Arial"/>
          <w:sz w:val="22"/>
          <w:szCs w:val="22"/>
        </w:rPr>
        <w:t xml:space="preserve">ском. В 1924 году в память о Владимире Ульянове (Ленине), родившемся здесь, город был переименован в Ульяновск. </w:t>
      </w:r>
    </w:p>
    <w:p w:rsidR="0044009A" w:rsidRDefault="0044009A" w:rsidP="0044009A">
      <w:pPr>
        <w:ind w:firstLine="720"/>
        <w:jc w:val="both"/>
        <w:rPr>
          <w:rFonts w:ascii="Arial" w:hAnsi="Arial" w:cs="Arial"/>
          <w:sz w:val="22"/>
          <w:szCs w:val="22"/>
        </w:rPr>
      </w:pPr>
      <w:r w:rsidRPr="009B2DA1">
        <w:rPr>
          <w:rFonts w:ascii="Arial" w:hAnsi="Arial" w:cs="Arial"/>
          <w:sz w:val="22"/>
          <w:szCs w:val="22"/>
        </w:rPr>
        <w:t xml:space="preserve">Ульяновск разделен на районы: Заволжский, Ленинский, Железнодорожный, </w:t>
      </w:r>
      <w:proofErr w:type="spellStart"/>
      <w:r w:rsidRPr="009B2DA1">
        <w:rPr>
          <w:rFonts w:ascii="Arial" w:hAnsi="Arial" w:cs="Arial"/>
          <w:sz w:val="22"/>
          <w:szCs w:val="22"/>
        </w:rPr>
        <w:t>Засвияжский</w:t>
      </w:r>
      <w:proofErr w:type="spellEnd"/>
      <w:r w:rsidRPr="009B2DA1">
        <w:rPr>
          <w:rFonts w:ascii="Arial" w:hAnsi="Arial" w:cs="Arial"/>
          <w:sz w:val="22"/>
          <w:szCs w:val="22"/>
        </w:rPr>
        <w:t xml:space="preserve">. </w:t>
      </w:r>
      <w:proofErr w:type="gramStart"/>
      <w:r w:rsidRPr="009B2DA1">
        <w:rPr>
          <w:rFonts w:ascii="Arial" w:hAnsi="Arial" w:cs="Arial"/>
          <w:sz w:val="22"/>
          <w:szCs w:val="22"/>
        </w:rPr>
        <w:t xml:space="preserve">Ленинский район считается старейшим в городе, расположен в северной части междуречья </w:t>
      </w:r>
      <w:proofErr w:type="spellStart"/>
      <w:r w:rsidRPr="009B2DA1">
        <w:rPr>
          <w:rFonts w:ascii="Arial" w:hAnsi="Arial" w:cs="Arial"/>
          <w:sz w:val="22"/>
          <w:szCs w:val="22"/>
        </w:rPr>
        <w:t>Свияги</w:t>
      </w:r>
      <w:proofErr w:type="spellEnd"/>
      <w:r w:rsidRPr="009B2DA1">
        <w:rPr>
          <w:rFonts w:ascii="Arial" w:hAnsi="Arial" w:cs="Arial"/>
          <w:sz w:val="22"/>
          <w:szCs w:val="22"/>
        </w:rPr>
        <w:t xml:space="preserve"> и Волги и разделен на так называемые север и центр.</w:t>
      </w:r>
      <w:proofErr w:type="gramEnd"/>
      <w:r w:rsidRPr="009B2DA1">
        <w:rPr>
          <w:rFonts w:ascii="Arial" w:hAnsi="Arial" w:cs="Arial"/>
          <w:sz w:val="22"/>
          <w:szCs w:val="22"/>
        </w:rPr>
        <w:t xml:space="preserve"> Южнее находится Ж</w:t>
      </w:r>
      <w:r w:rsidRPr="009B2DA1">
        <w:rPr>
          <w:rFonts w:ascii="Arial" w:hAnsi="Arial" w:cs="Arial"/>
          <w:sz w:val="22"/>
          <w:szCs w:val="22"/>
        </w:rPr>
        <w:t>е</w:t>
      </w:r>
      <w:r w:rsidRPr="009B2DA1">
        <w:rPr>
          <w:rFonts w:ascii="Arial" w:hAnsi="Arial" w:cs="Arial"/>
          <w:sz w:val="22"/>
          <w:szCs w:val="22"/>
        </w:rPr>
        <w:t xml:space="preserve">лезнодорожный район, который традиционно называют </w:t>
      </w:r>
      <w:proofErr w:type="spellStart"/>
      <w:r w:rsidRPr="009B2DA1">
        <w:rPr>
          <w:rFonts w:ascii="Arial" w:hAnsi="Arial" w:cs="Arial"/>
          <w:sz w:val="22"/>
          <w:szCs w:val="22"/>
        </w:rPr>
        <w:t>Киндяковка</w:t>
      </w:r>
      <w:proofErr w:type="spellEnd"/>
      <w:r w:rsidRPr="009B2DA1">
        <w:rPr>
          <w:rFonts w:ascii="Arial" w:hAnsi="Arial" w:cs="Arial"/>
          <w:sz w:val="22"/>
          <w:szCs w:val="22"/>
        </w:rPr>
        <w:t xml:space="preserve">. </w:t>
      </w:r>
      <w:proofErr w:type="spellStart"/>
      <w:r w:rsidRPr="009B2DA1">
        <w:rPr>
          <w:rFonts w:ascii="Arial" w:hAnsi="Arial" w:cs="Arial"/>
          <w:sz w:val="22"/>
          <w:szCs w:val="22"/>
        </w:rPr>
        <w:t>Засвияжье</w:t>
      </w:r>
      <w:proofErr w:type="spellEnd"/>
      <w:r w:rsidRPr="009B2DA1">
        <w:rPr>
          <w:rFonts w:ascii="Arial" w:hAnsi="Arial" w:cs="Arial"/>
          <w:sz w:val="22"/>
          <w:szCs w:val="22"/>
        </w:rPr>
        <w:t xml:space="preserve"> (левый берег </w:t>
      </w:r>
      <w:proofErr w:type="spellStart"/>
      <w:r w:rsidRPr="009B2DA1">
        <w:rPr>
          <w:rFonts w:ascii="Arial" w:hAnsi="Arial" w:cs="Arial"/>
          <w:sz w:val="22"/>
          <w:szCs w:val="22"/>
        </w:rPr>
        <w:t>Свияги</w:t>
      </w:r>
      <w:proofErr w:type="spellEnd"/>
      <w:r w:rsidRPr="009B2DA1">
        <w:rPr>
          <w:rFonts w:ascii="Arial" w:hAnsi="Arial" w:cs="Arial"/>
          <w:sz w:val="22"/>
          <w:szCs w:val="22"/>
        </w:rPr>
        <w:t xml:space="preserve">) делится на </w:t>
      </w:r>
      <w:proofErr w:type="gramStart"/>
      <w:r w:rsidRPr="009B2DA1">
        <w:rPr>
          <w:rFonts w:ascii="Arial" w:hAnsi="Arial" w:cs="Arial"/>
          <w:sz w:val="22"/>
          <w:szCs w:val="22"/>
        </w:rPr>
        <w:t>ближнее</w:t>
      </w:r>
      <w:proofErr w:type="gramEnd"/>
      <w:r w:rsidR="00406629">
        <w:rPr>
          <w:rFonts w:ascii="Arial" w:hAnsi="Arial" w:cs="Arial"/>
          <w:sz w:val="22"/>
          <w:szCs w:val="22"/>
        </w:rPr>
        <w:t xml:space="preserve"> </w:t>
      </w:r>
      <w:proofErr w:type="spellStart"/>
      <w:r w:rsidR="00406629" w:rsidRPr="009B2DA1">
        <w:rPr>
          <w:rFonts w:ascii="Arial" w:hAnsi="Arial" w:cs="Arial"/>
          <w:sz w:val="22"/>
          <w:szCs w:val="22"/>
        </w:rPr>
        <w:t>Засвияжье</w:t>
      </w:r>
      <w:proofErr w:type="spellEnd"/>
      <w:r w:rsidR="00406629" w:rsidRPr="009B2DA1">
        <w:rPr>
          <w:rFonts w:ascii="Arial" w:hAnsi="Arial" w:cs="Arial"/>
          <w:sz w:val="22"/>
          <w:szCs w:val="22"/>
        </w:rPr>
        <w:t xml:space="preserve"> </w:t>
      </w:r>
      <w:r w:rsidRPr="009B2DA1">
        <w:rPr>
          <w:rFonts w:ascii="Arial" w:hAnsi="Arial" w:cs="Arial"/>
          <w:sz w:val="22"/>
          <w:szCs w:val="22"/>
        </w:rPr>
        <w:t>и дальнее. Заволжский район располагается на левом берегу реки Волги и состоит из трех частей: Нижняя терраса, Верхняя терраса и Новый город.</w:t>
      </w:r>
    </w:p>
    <w:p w:rsidR="0044009A" w:rsidRPr="009B2DA1" w:rsidRDefault="0044009A" w:rsidP="0044009A">
      <w:pPr>
        <w:ind w:firstLine="720"/>
        <w:jc w:val="both"/>
        <w:rPr>
          <w:rFonts w:ascii="Arial" w:hAnsi="Arial" w:cs="Arial"/>
          <w:sz w:val="22"/>
          <w:szCs w:val="22"/>
        </w:rPr>
      </w:pPr>
      <w:r w:rsidRPr="009B2DA1">
        <w:rPr>
          <w:rFonts w:ascii="Arial" w:hAnsi="Arial" w:cs="Arial"/>
          <w:sz w:val="22"/>
          <w:szCs w:val="22"/>
        </w:rPr>
        <w:t xml:space="preserve">Разделенный Волгой город соединяют два моста. </w:t>
      </w:r>
      <w:hyperlink r:id="rId22" w:tooltip="Ульяновский мост" w:history="1">
        <w:r w:rsidRPr="009B2DA1">
          <w:rPr>
            <w:rFonts w:ascii="Arial" w:hAnsi="Arial" w:cs="Arial"/>
            <w:sz w:val="22"/>
            <w:szCs w:val="22"/>
          </w:rPr>
          <w:t>Старый железнодорожный мост</w:t>
        </w:r>
      </w:hyperlink>
      <w:r w:rsidRPr="009B2DA1">
        <w:rPr>
          <w:rFonts w:ascii="Arial" w:hAnsi="Arial" w:cs="Arial"/>
          <w:sz w:val="22"/>
          <w:szCs w:val="22"/>
        </w:rPr>
        <w:t xml:space="preserve"> официально открыт 5 октября 1916 года, названный в начале строительства "Императорским Его величества Николая II", в 1917 году он был переименован в мост Свободы. В связи с образованием Куйбышевского водохранилища в 1953 – 1958 гг. опоры моста были расширены и наращены, открыто автомобил</w:t>
      </w:r>
      <w:r w:rsidRPr="009B2DA1">
        <w:rPr>
          <w:rFonts w:ascii="Arial" w:hAnsi="Arial" w:cs="Arial"/>
          <w:sz w:val="22"/>
          <w:szCs w:val="22"/>
        </w:rPr>
        <w:t>ь</w:t>
      </w:r>
      <w:r w:rsidRPr="009B2DA1">
        <w:rPr>
          <w:rFonts w:ascii="Arial" w:hAnsi="Arial" w:cs="Arial"/>
          <w:sz w:val="22"/>
          <w:szCs w:val="22"/>
        </w:rPr>
        <w:t xml:space="preserve">ное движение. </w:t>
      </w:r>
    </w:p>
    <w:p w:rsidR="0044009A" w:rsidRPr="009B2DA1" w:rsidRDefault="00406629" w:rsidP="0044009A">
      <w:pPr>
        <w:ind w:firstLine="720"/>
        <w:jc w:val="both"/>
        <w:rPr>
          <w:rFonts w:ascii="Arial" w:hAnsi="Arial" w:cs="Arial"/>
          <w:sz w:val="22"/>
          <w:szCs w:val="22"/>
        </w:rPr>
      </w:pPr>
      <w:hyperlink r:id="rId23" w:tooltip="Ульяновский мост (новый)" w:history="1">
        <w:r w:rsidR="0044009A" w:rsidRPr="009B2DA1">
          <w:rPr>
            <w:rFonts w:ascii="Arial" w:hAnsi="Arial" w:cs="Arial"/>
            <w:sz w:val="22"/>
            <w:szCs w:val="22"/>
          </w:rPr>
          <w:t>Новый мост</w:t>
        </w:r>
      </w:hyperlink>
      <w:r w:rsidR="0044009A" w:rsidRPr="009B2DA1">
        <w:rPr>
          <w:rFonts w:ascii="Arial" w:hAnsi="Arial" w:cs="Arial"/>
          <w:sz w:val="22"/>
          <w:szCs w:val="22"/>
        </w:rPr>
        <w:t xml:space="preserve"> (называемый "Президентским") введён в эксплуатацию 26 ноября 2009 года. Нижний ярус моста для </w:t>
      </w:r>
      <w:proofErr w:type="spellStart"/>
      <w:r w:rsidR="0044009A" w:rsidRPr="009B2DA1">
        <w:rPr>
          <w:rFonts w:ascii="Arial" w:hAnsi="Arial" w:cs="Arial"/>
          <w:sz w:val="22"/>
          <w:szCs w:val="22"/>
        </w:rPr>
        <w:t>двухполосного</w:t>
      </w:r>
      <w:proofErr w:type="spellEnd"/>
      <w:r w:rsidR="0044009A" w:rsidRPr="009B2DA1">
        <w:rPr>
          <w:rFonts w:ascii="Arial" w:hAnsi="Arial" w:cs="Arial"/>
          <w:sz w:val="22"/>
          <w:szCs w:val="22"/>
        </w:rPr>
        <w:t xml:space="preserve"> движения </w:t>
      </w:r>
      <w:r w:rsidR="0044009A">
        <w:rPr>
          <w:rFonts w:ascii="Arial" w:hAnsi="Arial" w:cs="Arial"/>
          <w:sz w:val="22"/>
          <w:szCs w:val="22"/>
        </w:rPr>
        <w:t xml:space="preserve">в стадии строительства. </w:t>
      </w:r>
      <w:r w:rsidR="0044009A" w:rsidRPr="009B2DA1">
        <w:rPr>
          <w:rFonts w:ascii="Arial" w:hAnsi="Arial" w:cs="Arial"/>
          <w:sz w:val="22"/>
          <w:szCs w:val="22"/>
        </w:rPr>
        <w:t>Верхний ярус моста предназначен в основном для движения транзитного транспорта, основное вну</w:t>
      </w:r>
      <w:r w:rsidR="0044009A" w:rsidRPr="009B2DA1">
        <w:rPr>
          <w:rFonts w:ascii="Arial" w:hAnsi="Arial" w:cs="Arial"/>
          <w:sz w:val="22"/>
          <w:szCs w:val="22"/>
        </w:rPr>
        <w:t>т</w:t>
      </w:r>
      <w:r w:rsidR="0044009A" w:rsidRPr="009B2DA1">
        <w:rPr>
          <w:rFonts w:ascii="Arial" w:hAnsi="Arial" w:cs="Arial"/>
          <w:sz w:val="22"/>
          <w:szCs w:val="22"/>
        </w:rPr>
        <w:t>ригородское сообщение продолжается по старому автомобильному мосту. В настоящее время ведется  производство работ 2-й очереди строительства мостового перехода, которое предусматривает создание транспортных развязок на обоих берегах, что гармонично впишет мостовой переход в существующую улично-дорожную сеть.</w:t>
      </w:r>
    </w:p>
    <w:p w:rsidR="0044009A" w:rsidRPr="00ED36C3" w:rsidRDefault="0044009A" w:rsidP="0044009A">
      <w:pPr>
        <w:pStyle w:val="33"/>
        <w:ind w:firstLine="720"/>
        <w:rPr>
          <w:rFonts w:ascii="Arial" w:hAnsi="Arial" w:cs="Arial"/>
          <w:sz w:val="22"/>
          <w:szCs w:val="22"/>
        </w:rPr>
      </w:pPr>
      <w:r w:rsidRPr="00ED36C3">
        <w:rPr>
          <w:rFonts w:ascii="Arial" w:hAnsi="Arial" w:cs="Arial"/>
          <w:sz w:val="22"/>
          <w:szCs w:val="22"/>
        </w:rPr>
        <w:t>Крупные и средние предприятия города выпускают около 67% всей промышленной продукции Ульяновской области. В 2011 году ими отгружено товаров собственного производства (услуг собственными силами) на сумму свыше 99 млрд. рублей. На  промышленных предприятиях города производятся автомобили, самолеты, радиоаппаратура, железобетонные конструкции, станки, швейные и конд</w:t>
      </w:r>
      <w:r w:rsidRPr="00ED36C3">
        <w:rPr>
          <w:rFonts w:ascii="Arial" w:hAnsi="Arial" w:cs="Arial"/>
          <w:sz w:val="22"/>
          <w:szCs w:val="22"/>
        </w:rPr>
        <w:t>и</w:t>
      </w:r>
      <w:r w:rsidRPr="00ED36C3">
        <w:rPr>
          <w:rFonts w:ascii="Arial" w:hAnsi="Arial" w:cs="Arial"/>
          <w:sz w:val="22"/>
          <w:szCs w:val="22"/>
        </w:rPr>
        <w:t xml:space="preserve">терские изделия, обувь, продукты питания. Продукция ульяновских предприятий широко известна в России и за рубежом. </w:t>
      </w:r>
    </w:p>
    <w:p w:rsidR="0044009A" w:rsidRPr="00ED36C3" w:rsidRDefault="0044009A" w:rsidP="0044009A">
      <w:pPr>
        <w:ind w:firstLine="720"/>
        <w:jc w:val="both"/>
        <w:rPr>
          <w:rFonts w:ascii="Arial" w:hAnsi="Arial" w:cs="Arial"/>
          <w:color w:val="000000"/>
          <w:sz w:val="22"/>
          <w:szCs w:val="22"/>
        </w:rPr>
      </w:pPr>
      <w:r w:rsidRPr="00ED36C3">
        <w:rPr>
          <w:rFonts w:ascii="Arial" w:hAnsi="Arial" w:cs="Arial"/>
          <w:sz w:val="22"/>
          <w:szCs w:val="22"/>
        </w:rPr>
        <w:lastRenderedPageBreak/>
        <w:t xml:space="preserve">Визитной карточкой промышленности города является Ульяновский автомобильный завод, который является одним из лидеров отечественного машиностроения и крупнейшим производителем отечественных внедорожников. </w:t>
      </w:r>
      <w:r w:rsidRPr="00ED36C3">
        <w:rPr>
          <w:rFonts w:ascii="Arial" w:hAnsi="Arial" w:cs="Arial"/>
          <w:color w:val="000000"/>
          <w:sz w:val="22"/>
          <w:szCs w:val="22"/>
        </w:rPr>
        <w:t>Ульяновским автомобильным заводом реализован ряд проектов по улучшению характеристик автомобилей действующего модельного ряда, кроме этого организовано прои</w:t>
      </w:r>
      <w:r w:rsidRPr="00ED36C3">
        <w:rPr>
          <w:rFonts w:ascii="Arial" w:hAnsi="Arial" w:cs="Arial"/>
          <w:color w:val="000000"/>
          <w:sz w:val="22"/>
          <w:szCs w:val="22"/>
        </w:rPr>
        <w:t>з</w:t>
      </w:r>
      <w:r w:rsidRPr="00ED36C3">
        <w:rPr>
          <w:rFonts w:ascii="Arial" w:hAnsi="Arial" w:cs="Arial"/>
          <w:color w:val="000000"/>
          <w:sz w:val="22"/>
          <w:szCs w:val="22"/>
        </w:rPr>
        <w:t xml:space="preserve">водство </w:t>
      </w:r>
      <w:proofErr w:type="spellStart"/>
      <w:r w:rsidRPr="00ED36C3">
        <w:rPr>
          <w:rFonts w:ascii="Arial" w:hAnsi="Arial" w:cs="Arial"/>
          <w:color w:val="000000"/>
          <w:sz w:val="22"/>
          <w:szCs w:val="22"/>
        </w:rPr>
        <w:t>спецавтомобилей</w:t>
      </w:r>
      <w:proofErr w:type="spellEnd"/>
      <w:r w:rsidRPr="00ED36C3">
        <w:rPr>
          <w:rFonts w:ascii="Arial" w:hAnsi="Arial" w:cs="Arial"/>
          <w:color w:val="000000"/>
          <w:sz w:val="22"/>
          <w:szCs w:val="22"/>
        </w:rPr>
        <w:t xml:space="preserve"> на базе шасси УАЗ-390945, 330365 и автомобиля "Мобильный офис" на базе УАЗ-3741. </w:t>
      </w:r>
    </w:p>
    <w:p w:rsidR="0044009A" w:rsidRPr="00ED36C3" w:rsidRDefault="0044009A" w:rsidP="0044009A">
      <w:pPr>
        <w:ind w:firstLine="720"/>
        <w:jc w:val="both"/>
        <w:rPr>
          <w:rFonts w:ascii="Arial" w:hAnsi="Arial" w:cs="Arial"/>
          <w:sz w:val="22"/>
          <w:szCs w:val="22"/>
        </w:rPr>
      </w:pPr>
      <w:r w:rsidRPr="00ED36C3">
        <w:rPr>
          <w:rFonts w:ascii="Arial" w:hAnsi="Arial" w:cs="Arial"/>
          <w:sz w:val="22"/>
          <w:szCs w:val="22"/>
        </w:rPr>
        <w:t>В целях решения проблем формирования и развития авиационно-промышленного комплекса в городе продолжалась реализация областной целевой программы "Ульяновск – авиационная столица на 2009 – 2011 годы". В её рамках в г</w:t>
      </w:r>
      <w:proofErr w:type="gramStart"/>
      <w:r w:rsidRPr="00ED36C3">
        <w:rPr>
          <w:rFonts w:ascii="Arial" w:hAnsi="Arial" w:cs="Arial"/>
          <w:sz w:val="22"/>
          <w:szCs w:val="22"/>
        </w:rPr>
        <w:t>.У</w:t>
      </w:r>
      <w:proofErr w:type="gramEnd"/>
      <w:r w:rsidRPr="00ED36C3">
        <w:rPr>
          <w:rFonts w:ascii="Arial" w:hAnsi="Arial" w:cs="Arial"/>
          <w:sz w:val="22"/>
          <w:szCs w:val="22"/>
        </w:rPr>
        <w:t>льяновске успешно был пров</w:t>
      </w:r>
      <w:r w:rsidRPr="00ED36C3">
        <w:rPr>
          <w:rFonts w:ascii="Arial" w:hAnsi="Arial" w:cs="Arial"/>
          <w:sz w:val="22"/>
          <w:szCs w:val="22"/>
        </w:rPr>
        <w:t>е</w:t>
      </w:r>
      <w:r w:rsidRPr="00ED36C3">
        <w:rPr>
          <w:rFonts w:ascii="Arial" w:hAnsi="Arial" w:cs="Arial"/>
          <w:sz w:val="22"/>
          <w:szCs w:val="22"/>
        </w:rPr>
        <w:t xml:space="preserve">дён </w:t>
      </w:r>
      <w:r w:rsidRPr="00ED36C3">
        <w:rPr>
          <w:rFonts w:ascii="Arial" w:hAnsi="Arial" w:cs="Arial"/>
          <w:bCs/>
          <w:sz w:val="22"/>
          <w:szCs w:val="22"/>
        </w:rPr>
        <w:t>Первый Международный авиатранспортный Форум</w:t>
      </w:r>
      <w:r w:rsidRPr="00ED36C3">
        <w:rPr>
          <w:rFonts w:ascii="Arial" w:hAnsi="Arial" w:cs="Arial"/>
          <w:sz w:val="22"/>
          <w:szCs w:val="22"/>
        </w:rPr>
        <w:t>, прошедший с 21 по 23 апреля 2011 года. Мероприятие стало дискуссионной площадкой федерального уровня для обсуждения ключевых вопросов формирования стратегии и тактики развития авиационного тран</w:t>
      </w:r>
      <w:r w:rsidRPr="00ED36C3">
        <w:rPr>
          <w:rFonts w:ascii="Arial" w:hAnsi="Arial" w:cs="Arial"/>
          <w:sz w:val="22"/>
          <w:szCs w:val="22"/>
        </w:rPr>
        <w:t>с</w:t>
      </w:r>
      <w:r w:rsidRPr="00ED36C3">
        <w:rPr>
          <w:rFonts w:ascii="Arial" w:hAnsi="Arial" w:cs="Arial"/>
          <w:sz w:val="22"/>
          <w:szCs w:val="22"/>
        </w:rPr>
        <w:t xml:space="preserve">порта. В Форуме приняли участие более 750 делегатов, в т.ч. 62 делегата из двенадцати стран мира. Проведение Форума поддержали Министерство транспорта и Министерство промышленности и торговли РФ. </w:t>
      </w:r>
    </w:p>
    <w:p w:rsidR="0044009A" w:rsidRPr="00ED36C3" w:rsidRDefault="0044009A" w:rsidP="0044009A">
      <w:pPr>
        <w:ind w:firstLine="720"/>
        <w:jc w:val="both"/>
        <w:rPr>
          <w:rFonts w:ascii="Arial" w:hAnsi="Arial" w:cs="Arial"/>
          <w:sz w:val="22"/>
          <w:szCs w:val="22"/>
        </w:rPr>
      </w:pPr>
      <w:r w:rsidRPr="00ED36C3">
        <w:rPr>
          <w:rFonts w:ascii="Arial" w:hAnsi="Arial" w:cs="Arial"/>
          <w:sz w:val="22"/>
          <w:szCs w:val="22"/>
        </w:rPr>
        <w:t>Активное участие в Форуме приняли представители Объединённой авиастроительной корпорации. В рамках форума было пров</w:t>
      </w:r>
      <w:r w:rsidRPr="00ED36C3">
        <w:rPr>
          <w:rFonts w:ascii="Arial" w:hAnsi="Arial" w:cs="Arial"/>
          <w:sz w:val="22"/>
          <w:szCs w:val="22"/>
        </w:rPr>
        <w:t>е</w:t>
      </w:r>
      <w:r w:rsidRPr="00ED36C3">
        <w:rPr>
          <w:rFonts w:ascii="Arial" w:hAnsi="Arial" w:cs="Arial"/>
          <w:sz w:val="22"/>
          <w:szCs w:val="22"/>
        </w:rPr>
        <w:t>дено 19-е заседание рабочей группы по авиастроению Российско – Французского совета по экономическим, финансовым, промышле</w:t>
      </w:r>
      <w:r w:rsidRPr="00ED36C3">
        <w:rPr>
          <w:rFonts w:ascii="Arial" w:hAnsi="Arial" w:cs="Arial"/>
          <w:sz w:val="22"/>
          <w:szCs w:val="22"/>
        </w:rPr>
        <w:t>н</w:t>
      </w:r>
      <w:r w:rsidRPr="00ED36C3">
        <w:rPr>
          <w:rFonts w:ascii="Arial" w:hAnsi="Arial" w:cs="Arial"/>
          <w:sz w:val="22"/>
          <w:szCs w:val="22"/>
        </w:rPr>
        <w:t xml:space="preserve">ным и торговым вопросам (СЕФИК). А также проведены переговоры с канадской делегацией компании Викинг, авиакомпанией "Витязь" по размещению производства самолётов </w:t>
      </w:r>
      <w:proofErr w:type="spellStart"/>
      <w:r w:rsidRPr="00ED36C3">
        <w:rPr>
          <w:rFonts w:ascii="Arial" w:hAnsi="Arial" w:cs="Arial"/>
          <w:sz w:val="22"/>
          <w:szCs w:val="22"/>
        </w:rPr>
        <w:t>TwinOtterSeries</w:t>
      </w:r>
      <w:proofErr w:type="spellEnd"/>
      <w:r w:rsidRPr="00ED36C3">
        <w:rPr>
          <w:rFonts w:ascii="Arial" w:hAnsi="Arial" w:cs="Arial"/>
          <w:sz w:val="22"/>
          <w:szCs w:val="22"/>
        </w:rPr>
        <w:t xml:space="preserve"> 400.</w:t>
      </w:r>
    </w:p>
    <w:p w:rsidR="0044009A" w:rsidRPr="00ED36C3" w:rsidRDefault="0044009A" w:rsidP="0044009A">
      <w:pPr>
        <w:ind w:firstLine="720"/>
        <w:jc w:val="both"/>
        <w:rPr>
          <w:rFonts w:ascii="Arial" w:hAnsi="Arial" w:cs="Arial"/>
          <w:sz w:val="22"/>
          <w:szCs w:val="22"/>
        </w:rPr>
      </w:pPr>
      <w:r w:rsidRPr="00ED36C3">
        <w:rPr>
          <w:rFonts w:ascii="Arial" w:hAnsi="Arial" w:cs="Arial"/>
          <w:sz w:val="22"/>
          <w:szCs w:val="22"/>
        </w:rPr>
        <w:t>Во второй день Форума в Музее гражданской авиации состоялась церемония вступления в Лигу юных авиаторов, а также состо</w:t>
      </w:r>
      <w:r w:rsidRPr="00ED36C3">
        <w:rPr>
          <w:rFonts w:ascii="Arial" w:hAnsi="Arial" w:cs="Arial"/>
          <w:sz w:val="22"/>
          <w:szCs w:val="22"/>
        </w:rPr>
        <w:t>я</w:t>
      </w:r>
      <w:r w:rsidRPr="00ED36C3">
        <w:rPr>
          <w:rFonts w:ascii="Arial" w:hAnsi="Arial" w:cs="Arial"/>
          <w:sz w:val="22"/>
          <w:szCs w:val="22"/>
        </w:rPr>
        <w:t>лась церемония вручения премии "К взлёту готов!", которой были отмечены самые талантливые представители нового поколения ави</w:t>
      </w:r>
      <w:r w:rsidRPr="00ED36C3">
        <w:rPr>
          <w:rFonts w:ascii="Arial" w:hAnsi="Arial" w:cs="Arial"/>
          <w:sz w:val="22"/>
          <w:szCs w:val="22"/>
        </w:rPr>
        <w:t>а</w:t>
      </w:r>
      <w:r w:rsidRPr="00ED36C3">
        <w:rPr>
          <w:rFonts w:ascii="Arial" w:hAnsi="Arial" w:cs="Arial"/>
          <w:sz w:val="22"/>
          <w:szCs w:val="22"/>
        </w:rPr>
        <w:t xml:space="preserve">торов. В аэропорту "Ульяновск – Восточный" состоялось красочное авиа-шоу с участием 26 самолётов, показательные выступления авиамоделистов, </w:t>
      </w:r>
      <w:proofErr w:type="spellStart"/>
      <w:r w:rsidRPr="00ED36C3">
        <w:rPr>
          <w:rFonts w:ascii="Arial" w:hAnsi="Arial" w:cs="Arial"/>
          <w:sz w:val="22"/>
          <w:szCs w:val="22"/>
        </w:rPr>
        <w:t>парапланеристов</w:t>
      </w:r>
      <w:proofErr w:type="spellEnd"/>
      <w:r w:rsidRPr="00ED36C3">
        <w:rPr>
          <w:rFonts w:ascii="Arial" w:hAnsi="Arial" w:cs="Arial"/>
          <w:sz w:val="22"/>
          <w:szCs w:val="22"/>
        </w:rPr>
        <w:t xml:space="preserve"> и спортсменов-парашютистов. Гостями авиа-шоу 23 апреля стали около 50 тысяч человек.</w:t>
      </w:r>
    </w:p>
    <w:p w:rsidR="0044009A" w:rsidRPr="00ED36C3" w:rsidRDefault="0044009A" w:rsidP="0044009A">
      <w:pPr>
        <w:pStyle w:val="af2"/>
        <w:spacing w:before="0" w:beforeAutospacing="0" w:after="0" w:afterAutospacing="0"/>
        <w:ind w:firstLine="720"/>
        <w:jc w:val="both"/>
        <w:rPr>
          <w:rFonts w:ascii="Arial" w:hAnsi="Arial" w:cs="Arial"/>
          <w:color w:val="FF0000"/>
          <w:sz w:val="22"/>
          <w:szCs w:val="22"/>
        </w:rPr>
      </w:pPr>
      <w:r>
        <w:rPr>
          <w:noProof/>
        </w:rPr>
        <w:drawing>
          <wp:anchor distT="0" distB="0" distL="114300" distR="114300" simplePos="0" relativeHeight="251743232" behindDoc="0" locked="0" layoutInCell="1" allowOverlap="1">
            <wp:simplePos x="0" y="0"/>
            <wp:positionH relativeFrom="column">
              <wp:posOffset>-184785</wp:posOffset>
            </wp:positionH>
            <wp:positionV relativeFrom="paragraph">
              <wp:posOffset>330835</wp:posOffset>
            </wp:positionV>
            <wp:extent cx="2174875" cy="1739265"/>
            <wp:effectExtent l="0" t="0" r="0"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a:srcRect/>
                    <a:stretch>
                      <a:fillRect/>
                    </a:stretch>
                  </pic:blipFill>
                  <pic:spPr bwMode="auto">
                    <a:xfrm>
                      <a:off x="0" y="0"/>
                      <a:ext cx="2174875" cy="1739265"/>
                    </a:xfrm>
                    <a:prstGeom prst="rect">
                      <a:avLst/>
                    </a:prstGeom>
                    <a:noFill/>
                  </pic:spPr>
                </pic:pic>
              </a:graphicData>
            </a:graphic>
          </wp:anchor>
        </w:drawing>
      </w:r>
      <w:r w:rsidRPr="00ED36C3">
        <w:rPr>
          <w:rFonts w:ascii="Arial" w:hAnsi="Arial" w:cs="Arial"/>
          <w:sz w:val="22"/>
          <w:szCs w:val="22"/>
        </w:rPr>
        <w:t xml:space="preserve">Ядром проекта является </w:t>
      </w:r>
      <w:r w:rsidRPr="00ED36C3">
        <w:rPr>
          <w:rFonts w:ascii="Arial" w:hAnsi="Arial" w:cs="Arial"/>
          <w:bCs/>
          <w:sz w:val="22"/>
          <w:szCs w:val="22"/>
        </w:rPr>
        <w:t>завод ЗАО "Авиастар-СП"</w:t>
      </w:r>
      <w:r w:rsidRPr="00ED36C3">
        <w:rPr>
          <w:rFonts w:ascii="Arial" w:hAnsi="Arial" w:cs="Arial"/>
          <w:sz w:val="22"/>
          <w:szCs w:val="22"/>
        </w:rPr>
        <w:t>. Это современное интегрированное предприятие, оснащённое новейшим об</w:t>
      </w:r>
      <w:r w:rsidRPr="00ED36C3">
        <w:rPr>
          <w:rFonts w:ascii="Arial" w:hAnsi="Arial" w:cs="Arial"/>
          <w:sz w:val="22"/>
          <w:szCs w:val="22"/>
        </w:rPr>
        <w:t>о</w:t>
      </w:r>
      <w:r w:rsidRPr="00ED36C3">
        <w:rPr>
          <w:rFonts w:ascii="Arial" w:hAnsi="Arial" w:cs="Arial"/>
          <w:sz w:val="22"/>
          <w:szCs w:val="22"/>
        </w:rPr>
        <w:t>рудованием</w:t>
      </w:r>
      <w:r w:rsidRPr="00ED36C3">
        <w:rPr>
          <w:rFonts w:ascii="Arial" w:hAnsi="Arial" w:cs="Arial"/>
          <w:color w:val="FF0000"/>
          <w:sz w:val="22"/>
          <w:szCs w:val="22"/>
        </w:rPr>
        <w:t xml:space="preserve">. </w:t>
      </w:r>
      <w:r w:rsidRPr="00ED36C3">
        <w:rPr>
          <w:rFonts w:ascii="Arial" w:hAnsi="Arial" w:cs="Arial"/>
          <w:sz w:val="22"/>
          <w:szCs w:val="22"/>
        </w:rPr>
        <w:t>В 2011 году был проведён большой объём работ в рамках заказов на проведение ремонтных работ воздушных судов. В я</w:t>
      </w:r>
      <w:r w:rsidRPr="00ED36C3">
        <w:rPr>
          <w:rFonts w:ascii="Arial" w:hAnsi="Arial" w:cs="Arial"/>
          <w:sz w:val="22"/>
          <w:szCs w:val="22"/>
        </w:rPr>
        <w:t>н</w:t>
      </w:r>
      <w:r w:rsidRPr="00ED36C3">
        <w:rPr>
          <w:rFonts w:ascii="Arial" w:hAnsi="Arial" w:cs="Arial"/>
          <w:sz w:val="22"/>
          <w:szCs w:val="22"/>
        </w:rPr>
        <w:t>варе 2012 года состоялась сдача двух воздушных судов Ту-204-300, изготовленных для Управления д</w:t>
      </w:r>
      <w:r w:rsidRPr="00ED36C3">
        <w:rPr>
          <w:rFonts w:ascii="Arial" w:hAnsi="Arial" w:cs="Arial"/>
          <w:sz w:val="22"/>
          <w:szCs w:val="22"/>
        </w:rPr>
        <w:t>е</w:t>
      </w:r>
      <w:r w:rsidRPr="00ED36C3">
        <w:rPr>
          <w:rFonts w:ascii="Arial" w:hAnsi="Arial" w:cs="Arial"/>
          <w:sz w:val="22"/>
          <w:szCs w:val="22"/>
        </w:rPr>
        <w:t xml:space="preserve">лами Президента РФ. </w:t>
      </w:r>
    </w:p>
    <w:p w:rsidR="0044009A" w:rsidRPr="00ED36C3" w:rsidRDefault="0044009A" w:rsidP="0044009A">
      <w:pPr>
        <w:ind w:firstLine="720"/>
        <w:jc w:val="both"/>
        <w:rPr>
          <w:rFonts w:ascii="Arial" w:hAnsi="Arial" w:cs="Arial"/>
          <w:color w:val="000000"/>
          <w:sz w:val="22"/>
          <w:szCs w:val="22"/>
        </w:rPr>
      </w:pPr>
      <w:r w:rsidRPr="00ED36C3">
        <w:rPr>
          <w:rFonts w:ascii="Arial" w:hAnsi="Arial" w:cs="Arial"/>
          <w:color w:val="000000"/>
          <w:sz w:val="22"/>
          <w:szCs w:val="22"/>
        </w:rPr>
        <w:t>На Ульяновском моторном заводе завершены работы по НИОКР двигателя УМЗ экологического класса "Евро-4", пройдена сертификация. Также на предприятии ведутся работы по созданию и началу производства принципиально новой продуктовой линейки автомобильных двигателей УМЗ.</w:t>
      </w:r>
    </w:p>
    <w:p w:rsidR="0044009A" w:rsidRPr="00ED36C3" w:rsidRDefault="0044009A" w:rsidP="0044009A">
      <w:pPr>
        <w:ind w:firstLine="720"/>
        <w:jc w:val="both"/>
        <w:rPr>
          <w:rFonts w:ascii="Arial" w:hAnsi="Arial" w:cs="Arial"/>
          <w:color w:val="000000"/>
          <w:sz w:val="22"/>
          <w:szCs w:val="22"/>
        </w:rPr>
      </w:pPr>
      <w:r w:rsidRPr="00ED36C3">
        <w:rPr>
          <w:rFonts w:ascii="Arial" w:hAnsi="Arial" w:cs="Arial"/>
          <w:color w:val="000000"/>
          <w:sz w:val="22"/>
          <w:szCs w:val="22"/>
        </w:rPr>
        <w:t xml:space="preserve">На "КТЦ Металлоконструкция" в апреле 2011 года запущен в эксплуатацию новый цех горячего </w:t>
      </w:r>
      <w:proofErr w:type="spellStart"/>
      <w:r w:rsidRPr="00ED36C3">
        <w:rPr>
          <w:rFonts w:ascii="Arial" w:hAnsi="Arial" w:cs="Arial"/>
          <w:color w:val="000000"/>
          <w:sz w:val="22"/>
          <w:szCs w:val="22"/>
        </w:rPr>
        <w:t>цинкования</w:t>
      </w:r>
      <w:proofErr w:type="spellEnd"/>
      <w:r w:rsidRPr="00ED36C3">
        <w:rPr>
          <w:rFonts w:ascii="Arial" w:hAnsi="Arial" w:cs="Arial"/>
          <w:color w:val="000000"/>
          <w:sz w:val="22"/>
          <w:szCs w:val="22"/>
        </w:rPr>
        <w:t xml:space="preserve">, а также </w:t>
      </w:r>
      <w:proofErr w:type="spellStart"/>
      <w:r w:rsidRPr="00ED36C3">
        <w:rPr>
          <w:rFonts w:ascii="Arial" w:hAnsi="Arial" w:cs="Arial"/>
          <w:color w:val="000000"/>
          <w:sz w:val="22"/>
          <w:szCs w:val="22"/>
        </w:rPr>
        <w:t>раскроечный</w:t>
      </w:r>
      <w:proofErr w:type="spellEnd"/>
      <w:r w:rsidRPr="00ED36C3">
        <w:rPr>
          <w:rFonts w:ascii="Arial" w:hAnsi="Arial" w:cs="Arial"/>
          <w:color w:val="000000"/>
          <w:sz w:val="22"/>
          <w:szCs w:val="22"/>
        </w:rPr>
        <w:t xml:space="preserve"> комплекс, прокатный стан для изготовления секций балки, прокатный стан для изготовления стойки дорожного ограждения. Объём инвестиций составил 700 млн. руб. </w:t>
      </w:r>
    </w:p>
    <w:p w:rsidR="0044009A" w:rsidRPr="00ED36C3" w:rsidRDefault="0044009A" w:rsidP="0044009A">
      <w:pPr>
        <w:ind w:firstLine="720"/>
        <w:jc w:val="both"/>
        <w:rPr>
          <w:rFonts w:ascii="Arial" w:hAnsi="Arial" w:cs="Arial"/>
          <w:color w:val="212121"/>
          <w:sz w:val="22"/>
          <w:szCs w:val="22"/>
        </w:rPr>
      </w:pPr>
      <w:r w:rsidRPr="00ED36C3">
        <w:rPr>
          <w:rFonts w:ascii="Arial" w:hAnsi="Arial" w:cs="Arial"/>
          <w:color w:val="000000"/>
          <w:sz w:val="22"/>
          <w:szCs w:val="22"/>
        </w:rPr>
        <w:t>В феврале 2011 года на "БАУ Мотор Корпорэйшн" состоялось открытие цеха по производству а</w:t>
      </w:r>
      <w:r w:rsidRPr="00ED36C3">
        <w:rPr>
          <w:rFonts w:ascii="Arial" w:hAnsi="Arial" w:cs="Arial"/>
          <w:color w:val="000000"/>
          <w:sz w:val="22"/>
          <w:szCs w:val="22"/>
        </w:rPr>
        <w:t>в</w:t>
      </w:r>
      <w:r w:rsidRPr="00ED36C3">
        <w:rPr>
          <w:rFonts w:ascii="Arial" w:hAnsi="Arial" w:cs="Arial"/>
          <w:color w:val="000000"/>
          <w:sz w:val="22"/>
          <w:szCs w:val="22"/>
        </w:rPr>
        <w:t>тобусов малой вместимости BAW STREET. С запуском нового производства на предприятии появилось около 50 новых рабочих мест, в производстве задействовано более 10 ульяновских предприятий-поставщиков. В 2011 году для автобусного парка автотранспортных предприятий за счёт бюджета г</w:t>
      </w:r>
      <w:proofErr w:type="gramStart"/>
      <w:r w:rsidRPr="00ED36C3">
        <w:rPr>
          <w:rFonts w:ascii="Arial" w:hAnsi="Arial" w:cs="Arial"/>
          <w:color w:val="000000"/>
          <w:sz w:val="22"/>
          <w:szCs w:val="22"/>
        </w:rPr>
        <w:t>.У</w:t>
      </w:r>
      <w:proofErr w:type="gramEnd"/>
      <w:r w:rsidRPr="00ED36C3">
        <w:rPr>
          <w:rFonts w:ascii="Arial" w:hAnsi="Arial" w:cs="Arial"/>
          <w:color w:val="000000"/>
          <w:sz w:val="22"/>
          <w:szCs w:val="22"/>
        </w:rPr>
        <w:t>льяновска было приобретено 35 автобусов BAW "STREET".</w:t>
      </w:r>
    </w:p>
    <w:p w:rsidR="0044009A" w:rsidRPr="00ED36C3" w:rsidRDefault="0044009A" w:rsidP="0044009A">
      <w:pPr>
        <w:pStyle w:val="22"/>
        <w:spacing w:line="240" w:lineRule="auto"/>
        <w:rPr>
          <w:rFonts w:cs="Arial"/>
          <w:sz w:val="22"/>
          <w:szCs w:val="22"/>
        </w:rPr>
      </w:pPr>
      <w:r w:rsidRPr="00ED36C3">
        <w:rPr>
          <w:rFonts w:cs="Arial"/>
          <w:sz w:val="22"/>
          <w:szCs w:val="22"/>
        </w:rPr>
        <w:t>Город растёт и развивается.  На развитие экономики и социальной сферы города в 2011 года крупными и средними организаци</w:t>
      </w:r>
      <w:r w:rsidRPr="00ED36C3">
        <w:rPr>
          <w:rFonts w:cs="Arial"/>
          <w:sz w:val="22"/>
          <w:szCs w:val="22"/>
        </w:rPr>
        <w:t>я</w:t>
      </w:r>
      <w:r w:rsidRPr="00ED36C3">
        <w:rPr>
          <w:rFonts w:cs="Arial"/>
          <w:sz w:val="22"/>
          <w:szCs w:val="22"/>
        </w:rPr>
        <w:t>ми использовано более15 млрд. рублей инвестиций в основной капитал, что в постоянных ценах на 21,0% больше, чем в 2010 году. В</w:t>
      </w:r>
      <w:r w:rsidRPr="00ED36C3">
        <w:rPr>
          <w:rFonts w:cs="Arial"/>
          <w:sz w:val="22"/>
          <w:szCs w:val="22"/>
        </w:rPr>
        <w:t>ы</w:t>
      </w:r>
      <w:r w:rsidRPr="00ED36C3">
        <w:rPr>
          <w:rFonts w:cs="Arial"/>
          <w:sz w:val="22"/>
          <w:szCs w:val="22"/>
        </w:rPr>
        <w:t>полненный объём работ по виду деятельности "строительство" составил 7,5 млрд. рублей, или 140,7% к 2010 году.</w:t>
      </w:r>
    </w:p>
    <w:p w:rsidR="0044009A" w:rsidRPr="00ED36C3" w:rsidRDefault="0044009A" w:rsidP="0044009A">
      <w:pPr>
        <w:pStyle w:val="8"/>
        <w:spacing w:before="0"/>
        <w:ind w:firstLine="720"/>
        <w:jc w:val="both"/>
        <w:rPr>
          <w:b w:val="0"/>
          <w:sz w:val="22"/>
          <w:szCs w:val="22"/>
        </w:rPr>
      </w:pPr>
      <w:r w:rsidRPr="00ED36C3">
        <w:rPr>
          <w:b w:val="0"/>
          <w:sz w:val="22"/>
          <w:szCs w:val="22"/>
        </w:rPr>
        <w:t>На территории города предприятиями, организациями и населением в 2011 году построено 812 жилых домов (3980 квартир) о</w:t>
      </w:r>
      <w:r w:rsidRPr="00ED36C3">
        <w:rPr>
          <w:b w:val="0"/>
          <w:sz w:val="22"/>
          <w:szCs w:val="22"/>
        </w:rPr>
        <w:t>б</w:t>
      </w:r>
      <w:r w:rsidRPr="00ED36C3">
        <w:rPr>
          <w:b w:val="0"/>
          <w:sz w:val="22"/>
          <w:szCs w:val="22"/>
        </w:rPr>
        <w:t>щей площадью 344,2 тыс. кв. метров, что составило 118,3% к уровню 2010 года. Хорошими темпами развивается индивидуальное ж</w:t>
      </w:r>
      <w:r w:rsidRPr="00ED36C3">
        <w:rPr>
          <w:b w:val="0"/>
          <w:sz w:val="22"/>
          <w:szCs w:val="22"/>
        </w:rPr>
        <w:t>и</w:t>
      </w:r>
      <w:r w:rsidRPr="00ED36C3">
        <w:rPr>
          <w:b w:val="0"/>
          <w:sz w:val="22"/>
          <w:szCs w:val="22"/>
        </w:rPr>
        <w:t xml:space="preserve">лищное строительство. В 2011 году индивидуальными застройщиками введено 164,5 тыс. кв. метров общей площади жилья или 125,2% к </w:t>
      </w:r>
      <w:r w:rsidRPr="00ED36C3">
        <w:rPr>
          <w:b w:val="0"/>
          <w:sz w:val="22"/>
          <w:szCs w:val="22"/>
        </w:rPr>
        <w:lastRenderedPageBreak/>
        <w:t xml:space="preserve">предыдущему году. В сельской местности города темпы строительства индивидуального жилья к предыдущему году ещё больше – в 2,7 раза. </w:t>
      </w:r>
    </w:p>
    <w:p w:rsidR="0044009A" w:rsidRPr="00ED36C3" w:rsidRDefault="0044009A" w:rsidP="0044009A">
      <w:pPr>
        <w:pStyle w:val="8"/>
        <w:tabs>
          <w:tab w:val="left" w:pos="-142"/>
        </w:tabs>
        <w:spacing w:before="0"/>
        <w:ind w:firstLine="720"/>
        <w:jc w:val="both"/>
        <w:rPr>
          <w:b w:val="0"/>
          <w:sz w:val="22"/>
          <w:szCs w:val="22"/>
        </w:rPr>
      </w:pPr>
      <w:proofErr w:type="gramStart"/>
      <w:r w:rsidRPr="00ED36C3">
        <w:rPr>
          <w:b w:val="0"/>
          <w:sz w:val="22"/>
          <w:szCs w:val="22"/>
        </w:rPr>
        <w:t>В 2011 году в городе введены социально значимые объекты: общеобразовательная школа на 144 ученических места, дошкольное общеобразовательное учреждение на 243 места, физкультурно-оздоровительный комплекс с плавательным бассейном (зеркало воды – 400 кв. метров), пристрой к радиологическому корпусу ГУЗ "Областной клинический онкологический диспансер" на 25 посещений в смену, два кафе на 55 посадочных мест.</w:t>
      </w:r>
      <w:proofErr w:type="gramEnd"/>
    </w:p>
    <w:p w:rsidR="0044009A" w:rsidRPr="00ED36C3" w:rsidRDefault="0044009A" w:rsidP="0044009A">
      <w:pPr>
        <w:ind w:firstLine="720"/>
        <w:jc w:val="both"/>
        <w:rPr>
          <w:rFonts w:ascii="Arial" w:hAnsi="Arial" w:cs="Arial"/>
          <w:color w:val="000000"/>
          <w:sz w:val="22"/>
          <w:szCs w:val="22"/>
        </w:rPr>
      </w:pPr>
      <w:r w:rsidRPr="00ED36C3">
        <w:rPr>
          <w:rFonts w:ascii="Arial" w:hAnsi="Arial" w:cs="Arial"/>
          <w:sz w:val="22"/>
          <w:szCs w:val="22"/>
        </w:rPr>
        <w:t xml:space="preserve"> Введена трансформаторная подстанция мощностью 0,9 </w:t>
      </w:r>
      <w:proofErr w:type="spellStart"/>
      <w:r w:rsidRPr="00ED36C3">
        <w:rPr>
          <w:rFonts w:ascii="Arial" w:hAnsi="Arial" w:cs="Arial"/>
          <w:sz w:val="22"/>
          <w:szCs w:val="22"/>
        </w:rPr>
        <w:t>тыс.КВ</w:t>
      </w:r>
      <w:proofErr w:type="gramStart"/>
      <w:r w:rsidRPr="00ED36C3">
        <w:rPr>
          <w:rFonts w:ascii="Arial" w:hAnsi="Arial" w:cs="Arial"/>
          <w:sz w:val="22"/>
          <w:szCs w:val="22"/>
        </w:rPr>
        <w:t>.А</w:t>
      </w:r>
      <w:proofErr w:type="spellEnd"/>
      <w:proofErr w:type="gramEnd"/>
      <w:r w:rsidRPr="00ED36C3">
        <w:rPr>
          <w:rFonts w:ascii="Arial" w:hAnsi="Arial" w:cs="Arial"/>
          <w:sz w:val="22"/>
          <w:szCs w:val="22"/>
        </w:rPr>
        <w:t>, за счёт реконструкции возросли мощности по производству с</w:t>
      </w:r>
      <w:r w:rsidRPr="00ED36C3">
        <w:rPr>
          <w:rFonts w:ascii="Arial" w:hAnsi="Arial" w:cs="Arial"/>
          <w:sz w:val="22"/>
          <w:szCs w:val="22"/>
        </w:rPr>
        <w:t>ы</w:t>
      </w:r>
      <w:r w:rsidRPr="00ED36C3">
        <w:rPr>
          <w:rFonts w:ascii="Arial" w:hAnsi="Arial" w:cs="Arial"/>
          <w:sz w:val="22"/>
          <w:szCs w:val="22"/>
        </w:rPr>
        <w:t>ра твёрдых сортов до 2,9 тонны в смену и масла животного – 1,8 тонны в смену. Продолжается строительство 2-й очереди мостового перехода "Президентский", которое предусматривает создание транспортных развязок на обоих берегах, что гармонично впишет мост</w:t>
      </w:r>
      <w:r w:rsidRPr="00ED36C3">
        <w:rPr>
          <w:rFonts w:ascii="Arial" w:hAnsi="Arial" w:cs="Arial"/>
          <w:sz w:val="22"/>
          <w:szCs w:val="22"/>
        </w:rPr>
        <w:t>о</w:t>
      </w:r>
      <w:r w:rsidRPr="00ED36C3">
        <w:rPr>
          <w:rFonts w:ascii="Arial" w:hAnsi="Arial" w:cs="Arial"/>
          <w:sz w:val="22"/>
          <w:szCs w:val="22"/>
        </w:rPr>
        <w:t xml:space="preserve">вой переход в существующую улично-дорожную сеть. </w:t>
      </w:r>
      <w:r w:rsidRPr="00ED36C3">
        <w:rPr>
          <w:rFonts w:ascii="Arial" w:hAnsi="Arial" w:cs="Arial"/>
          <w:color w:val="000000"/>
          <w:sz w:val="22"/>
          <w:szCs w:val="22"/>
        </w:rPr>
        <w:t>Введён в эксплуатацию на правом берегу I этап второго пускового комплекса м</w:t>
      </w:r>
      <w:r w:rsidRPr="00ED36C3">
        <w:rPr>
          <w:rFonts w:ascii="Arial" w:hAnsi="Arial" w:cs="Arial"/>
          <w:color w:val="000000"/>
          <w:sz w:val="22"/>
          <w:szCs w:val="22"/>
        </w:rPr>
        <w:t>о</w:t>
      </w:r>
      <w:r w:rsidRPr="00ED36C3">
        <w:rPr>
          <w:rFonts w:ascii="Arial" w:hAnsi="Arial" w:cs="Arial"/>
          <w:color w:val="000000"/>
          <w:sz w:val="22"/>
          <w:szCs w:val="22"/>
        </w:rPr>
        <w:t xml:space="preserve">стового перехода через реку Волгу. </w:t>
      </w:r>
    </w:p>
    <w:p w:rsidR="0044009A" w:rsidRPr="00ED36C3" w:rsidRDefault="0044009A" w:rsidP="0044009A">
      <w:pPr>
        <w:pStyle w:val="8"/>
        <w:keepNext w:val="0"/>
        <w:tabs>
          <w:tab w:val="left" w:pos="-142"/>
        </w:tabs>
        <w:spacing w:before="0"/>
        <w:ind w:firstLine="720"/>
        <w:jc w:val="both"/>
        <w:rPr>
          <w:b w:val="0"/>
          <w:sz w:val="22"/>
          <w:szCs w:val="22"/>
        </w:rPr>
      </w:pPr>
      <w:r w:rsidRPr="00ED36C3">
        <w:rPr>
          <w:b w:val="0"/>
          <w:sz w:val="22"/>
          <w:szCs w:val="22"/>
        </w:rPr>
        <w:t xml:space="preserve">  В 2011 году на территории города в активной фазе осуществлялось строительство современного культурно-досугового центра "АКВАМОЛЛ".</w:t>
      </w:r>
    </w:p>
    <w:p w:rsidR="0044009A" w:rsidRPr="00ED36C3" w:rsidRDefault="0044009A" w:rsidP="0044009A">
      <w:pPr>
        <w:pStyle w:val="8"/>
        <w:spacing w:before="0"/>
        <w:ind w:firstLine="720"/>
        <w:jc w:val="both"/>
        <w:rPr>
          <w:b w:val="0"/>
          <w:sz w:val="22"/>
          <w:szCs w:val="22"/>
        </w:rPr>
      </w:pPr>
      <w:r w:rsidRPr="00ED36C3">
        <w:rPr>
          <w:b w:val="0"/>
          <w:sz w:val="22"/>
          <w:szCs w:val="22"/>
        </w:rPr>
        <w:t xml:space="preserve">Масштаб  комплекса впечатляет: общая площадь </w:t>
      </w:r>
      <w:proofErr w:type="spellStart"/>
      <w:r w:rsidRPr="00ED36C3">
        <w:rPr>
          <w:b w:val="0"/>
          <w:sz w:val="22"/>
          <w:szCs w:val="22"/>
        </w:rPr>
        <w:t>АКВАМОЛЛа</w:t>
      </w:r>
      <w:proofErr w:type="spellEnd"/>
      <w:r w:rsidRPr="00ED36C3">
        <w:rPr>
          <w:b w:val="0"/>
          <w:sz w:val="22"/>
          <w:szCs w:val="22"/>
        </w:rPr>
        <w:t xml:space="preserve"> – около 90 тысяч квадратных метров, на которых разместятся б</w:t>
      </w:r>
      <w:r w:rsidRPr="00ED36C3">
        <w:rPr>
          <w:b w:val="0"/>
          <w:sz w:val="22"/>
          <w:szCs w:val="22"/>
        </w:rPr>
        <w:t>о</w:t>
      </w:r>
      <w:r w:rsidRPr="00ED36C3">
        <w:rPr>
          <w:b w:val="0"/>
          <w:sz w:val="22"/>
          <w:szCs w:val="22"/>
        </w:rPr>
        <w:t>лее 140 магази</w:t>
      </w:r>
      <w:r w:rsidRPr="00ED36C3">
        <w:rPr>
          <w:b w:val="0"/>
          <w:sz w:val="22"/>
          <w:szCs w:val="22"/>
        </w:rPr>
        <w:softHyphen/>
        <w:t>нов. Среди арендаторов – француз</w:t>
      </w:r>
      <w:r w:rsidRPr="00ED36C3">
        <w:rPr>
          <w:b w:val="0"/>
          <w:sz w:val="22"/>
          <w:szCs w:val="22"/>
        </w:rPr>
        <w:softHyphen/>
        <w:t>ская продуктовая сеть гипермаркетов АШАН (</w:t>
      </w:r>
      <w:proofErr w:type="spellStart"/>
      <w:r w:rsidRPr="00ED36C3">
        <w:rPr>
          <w:b w:val="0"/>
          <w:sz w:val="22"/>
          <w:szCs w:val="22"/>
        </w:rPr>
        <w:t>Auchan</w:t>
      </w:r>
      <w:proofErr w:type="spellEnd"/>
      <w:r w:rsidRPr="00ED36C3">
        <w:rPr>
          <w:b w:val="0"/>
          <w:sz w:val="22"/>
          <w:szCs w:val="22"/>
        </w:rPr>
        <w:t>), международная сеть гиперма</w:t>
      </w:r>
      <w:r w:rsidRPr="00ED36C3">
        <w:rPr>
          <w:b w:val="0"/>
          <w:sz w:val="22"/>
          <w:szCs w:val="22"/>
        </w:rPr>
        <w:t>р</w:t>
      </w:r>
      <w:r w:rsidRPr="00ED36C3">
        <w:rPr>
          <w:b w:val="0"/>
          <w:sz w:val="22"/>
          <w:szCs w:val="22"/>
        </w:rPr>
        <w:t xml:space="preserve">кетов бытовой техники и электроники </w:t>
      </w:r>
      <w:proofErr w:type="spellStart"/>
      <w:r w:rsidRPr="00ED36C3">
        <w:rPr>
          <w:b w:val="0"/>
          <w:sz w:val="22"/>
          <w:szCs w:val="22"/>
        </w:rPr>
        <w:t>MediaMarkt</w:t>
      </w:r>
      <w:proofErr w:type="spellEnd"/>
      <w:r w:rsidRPr="00ED36C3">
        <w:rPr>
          <w:b w:val="0"/>
          <w:sz w:val="22"/>
          <w:szCs w:val="22"/>
        </w:rPr>
        <w:t>, "Детский мир", "Спортмастер", "</w:t>
      </w:r>
      <w:proofErr w:type="spellStart"/>
      <w:r w:rsidRPr="00ED36C3">
        <w:rPr>
          <w:b w:val="0"/>
          <w:sz w:val="22"/>
          <w:szCs w:val="22"/>
        </w:rPr>
        <w:t>Синема</w:t>
      </w:r>
      <w:proofErr w:type="spellEnd"/>
      <w:r w:rsidRPr="00ED36C3">
        <w:rPr>
          <w:b w:val="0"/>
          <w:sz w:val="22"/>
          <w:szCs w:val="22"/>
        </w:rPr>
        <w:t xml:space="preserve"> парк". </w:t>
      </w:r>
    </w:p>
    <w:p w:rsidR="0044009A" w:rsidRPr="00ED36C3" w:rsidRDefault="0044009A" w:rsidP="0044009A">
      <w:pPr>
        <w:pStyle w:val="8"/>
        <w:spacing w:before="0"/>
        <w:ind w:firstLine="720"/>
        <w:jc w:val="both"/>
        <w:rPr>
          <w:b w:val="0"/>
          <w:sz w:val="22"/>
          <w:szCs w:val="22"/>
        </w:rPr>
      </w:pPr>
      <w:r w:rsidRPr="00ED36C3">
        <w:rPr>
          <w:b w:val="0"/>
          <w:sz w:val="22"/>
          <w:szCs w:val="22"/>
        </w:rPr>
        <w:t xml:space="preserve">Впервые в </w:t>
      </w:r>
      <w:proofErr w:type="spellStart"/>
      <w:r w:rsidRPr="00ED36C3">
        <w:rPr>
          <w:b w:val="0"/>
          <w:sz w:val="22"/>
          <w:szCs w:val="22"/>
        </w:rPr>
        <w:t>г</w:t>
      </w:r>
      <w:proofErr w:type="gramStart"/>
      <w:r w:rsidRPr="00ED36C3">
        <w:rPr>
          <w:b w:val="0"/>
          <w:sz w:val="22"/>
          <w:szCs w:val="22"/>
        </w:rPr>
        <w:t>.У</w:t>
      </w:r>
      <w:proofErr w:type="gramEnd"/>
      <w:r w:rsidRPr="00ED36C3">
        <w:rPr>
          <w:b w:val="0"/>
          <w:sz w:val="22"/>
          <w:szCs w:val="22"/>
        </w:rPr>
        <w:t>льяновске</w:t>
      </w:r>
      <w:proofErr w:type="spellEnd"/>
      <w:r w:rsidRPr="00ED36C3">
        <w:rPr>
          <w:b w:val="0"/>
          <w:sz w:val="22"/>
          <w:szCs w:val="22"/>
        </w:rPr>
        <w:t xml:space="preserve"> появится </w:t>
      </w:r>
      <w:proofErr w:type="spellStart"/>
      <w:r w:rsidRPr="00ED36C3">
        <w:rPr>
          <w:b w:val="0"/>
          <w:sz w:val="22"/>
          <w:szCs w:val="22"/>
        </w:rPr>
        <w:t>девятизальный</w:t>
      </w:r>
      <w:proofErr w:type="spellEnd"/>
      <w:r w:rsidRPr="00ED36C3">
        <w:rPr>
          <w:b w:val="0"/>
          <w:sz w:val="22"/>
          <w:szCs w:val="22"/>
        </w:rPr>
        <w:t xml:space="preserve"> кинотеатр, где будет премьерный кинозал, оборудованный по технологии IMAX 3D. Беспрецедентно для </w:t>
      </w:r>
      <w:proofErr w:type="spellStart"/>
      <w:r w:rsidRPr="00ED36C3">
        <w:rPr>
          <w:b w:val="0"/>
          <w:sz w:val="22"/>
          <w:szCs w:val="22"/>
        </w:rPr>
        <w:t>г</w:t>
      </w:r>
      <w:proofErr w:type="gramStart"/>
      <w:r w:rsidRPr="00ED36C3">
        <w:rPr>
          <w:b w:val="0"/>
          <w:sz w:val="22"/>
          <w:szCs w:val="22"/>
        </w:rPr>
        <w:t>.У</w:t>
      </w:r>
      <w:proofErr w:type="gramEnd"/>
      <w:r w:rsidRPr="00ED36C3">
        <w:rPr>
          <w:b w:val="0"/>
          <w:sz w:val="22"/>
          <w:szCs w:val="22"/>
        </w:rPr>
        <w:t>льяновска</w:t>
      </w:r>
      <w:proofErr w:type="spellEnd"/>
      <w:r w:rsidRPr="00ED36C3">
        <w:rPr>
          <w:b w:val="0"/>
          <w:sz w:val="22"/>
          <w:szCs w:val="22"/>
        </w:rPr>
        <w:t xml:space="preserve">, что </w:t>
      </w:r>
      <w:proofErr w:type="spellStart"/>
      <w:r w:rsidRPr="00ED36C3">
        <w:rPr>
          <w:b w:val="0"/>
          <w:sz w:val="22"/>
          <w:szCs w:val="22"/>
        </w:rPr>
        <w:t>фудкорт</w:t>
      </w:r>
      <w:proofErr w:type="spellEnd"/>
      <w:r w:rsidRPr="00ED36C3">
        <w:rPr>
          <w:b w:val="0"/>
          <w:sz w:val="22"/>
          <w:szCs w:val="22"/>
        </w:rPr>
        <w:t xml:space="preserve"> торгово-развлекательного центра представлен двенадцатью кон</w:t>
      </w:r>
      <w:r w:rsidRPr="00ED36C3">
        <w:rPr>
          <w:b w:val="0"/>
          <w:sz w:val="22"/>
          <w:szCs w:val="22"/>
        </w:rPr>
        <w:softHyphen/>
        <w:t>цепциями наци</w:t>
      </w:r>
      <w:r w:rsidRPr="00ED36C3">
        <w:rPr>
          <w:b w:val="0"/>
          <w:sz w:val="22"/>
          <w:szCs w:val="22"/>
        </w:rPr>
        <w:t>о</w:t>
      </w:r>
      <w:r w:rsidRPr="00ED36C3">
        <w:rPr>
          <w:b w:val="0"/>
          <w:sz w:val="22"/>
          <w:szCs w:val="22"/>
        </w:rPr>
        <w:t xml:space="preserve">нальных кухонь. Кроме </w:t>
      </w:r>
      <w:proofErr w:type="spellStart"/>
      <w:r w:rsidRPr="00ED36C3">
        <w:rPr>
          <w:b w:val="0"/>
          <w:sz w:val="22"/>
          <w:szCs w:val="22"/>
        </w:rPr>
        <w:t>фудкорта</w:t>
      </w:r>
      <w:proofErr w:type="spellEnd"/>
      <w:r w:rsidRPr="00ED36C3">
        <w:rPr>
          <w:b w:val="0"/>
          <w:sz w:val="22"/>
          <w:szCs w:val="22"/>
        </w:rPr>
        <w:t xml:space="preserve"> в комплек</w:t>
      </w:r>
      <w:r w:rsidRPr="00ED36C3">
        <w:rPr>
          <w:b w:val="0"/>
          <w:sz w:val="22"/>
          <w:szCs w:val="22"/>
        </w:rPr>
        <w:softHyphen/>
        <w:t xml:space="preserve">се – три ресторана и три кафе. Посетители и гости смогут отдохнуть не только внутри, но и снаружи </w:t>
      </w:r>
      <w:proofErr w:type="spellStart"/>
      <w:r w:rsidRPr="00ED36C3">
        <w:rPr>
          <w:b w:val="0"/>
          <w:sz w:val="22"/>
          <w:szCs w:val="22"/>
        </w:rPr>
        <w:t>АКВАМОЛЛа</w:t>
      </w:r>
      <w:proofErr w:type="spellEnd"/>
      <w:r w:rsidRPr="00ED36C3">
        <w:rPr>
          <w:b w:val="0"/>
          <w:sz w:val="22"/>
          <w:szCs w:val="22"/>
        </w:rPr>
        <w:t>: перед ними откроется восхититель</w:t>
      </w:r>
      <w:r w:rsidRPr="00ED36C3">
        <w:rPr>
          <w:b w:val="0"/>
          <w:sz w:val="22"/>
          <w:szCs w:val="22"/>
        </w:rPr>
        <w:softHyphen/>
        <w:t>ный вид на набережную с фонтанами, летним парком детских аттракционов, кафе под открытым небом. В комплексе предусмотрены парковки двух типов: подземная и открытая, которые вместят около 1700 авт</w:t>
      </w:r>
      <w:r w:rsidRPr="00ED36C3">
        <w:rPr>
          <w:b w:val="0"/>
          <w:sz w:val="22"/>
          <w:szCs w:val="22"/>
        </w:rPr>
        <w:t>о</w:t>
      </w:r>
      <w:r w:rsidRPr="00ED36C3">
        <w:rPr>
          <w:b w:val="0"/>
          <w:sz w:val="22"/>
          <w:szCs w:val="22"/>
        </w:rPr>
        <w:t>мобилей.</w:t>
      </w:r>
    </w:p>
    <w:p w:rsidR="0044009A" w:rsidRPr="00ED36C3" w:rsidRDefault="0044009A" w:rsidP="0044009A">
      <w:pPr>
        <w:pStyle w:val="8"/>
        <w:spacing w:before="0"/>
        <w:ind w:firstLine="720"/>
        <w:jc w:val="both"/>
        <w:rPr>
          <w:b w:val="0"/>
          <w:sz w:val="22"/>
          <w:szCs w:val="22"/>
        </w:rPr>
      </w:pPr>
      <w:r w:rsidRPr="00ED36C3">
        <w:rPr>
          <w:b w:val="0"/>
          <w:sz w:val="22"/>
          <w:szCs w:val="22"/>
        </w:rPr>
        <w:t xml:space="preserve">У </w:t>
      </w:r>
      <w:proofErr w:type="spellStart"/>
      <w:r w:rsidRPr="00ED36C3">
        <w:rPr>
          <w:b w:val="0"/>
          <w:sz w:val="22"/>
          <w:szCs w:val="22"/>
        </w:rPr>
        <w:t>АКВАМОЛЛа</w:t>
      </w:r>
      <w:proofErr w:type="spellEnd"/>
      <w:r w:rsidRPr="00ED36C3">
        <w:rPr>
          <w:b w:val="0"/>
          <w:sz w:val="22"/>
          <w:szCs w:val="22"/>
        </w:rPr>
        <w:t xml:space="preserve"> есть все шансы не только стать самым успешным и востребован</w:t>
      </w:r>
      <w:r w:rsidRPr="00ED36C3">
        <w:rPr>
          <w:b w:val="0"/>
          <w:sz w:val="22"/>
          <w:szCs w:val="22"/>
        </w:rPr>
        <w:softHyphen/>
        <w:t>ным</w:t>
      </w:r>
      <w:r w:rsidRPr="00ED36C3">
        <w:rPr>
          <w:rStyle w:val="FontStyle15"/>
          <w:b w:val="0"/>
          <w:sz w:val="22"/>
          <w:szCs w:val="22"/>
        </w:rPr>
        <w:t xml:space="preserve"> торгово-развлекательным ком</w:t>
      </w:r>
      <w:r w:rsidRPr="00ED36C3">
        <w:rPr>
          <w:rStyle w:val="FontStyle15"/>
          <w:b w:val="0"/>
          <w:sz w:val="22"/>
          <w:szCs w:val="22"/>
        </w:rPr>
        <w:softHyphen/>
        <w:t>плексом в г</w:t>
      </w:r>
      <w:proofErr w:type="gramStart"/>
      <w:r w:rsidRPr="00ED36C3">
        <w:rPr>
          <w:rStyle w:val="FontStyle15"/>
          <w:b w:val="0"/>
          <w:sz w:val="22"/>
          <w:szCs w:val="22"/>
        </w:rPr>
        <w:t>.У</w:t>
      </w:r>
      <w:proofErr w:type="gramEnd"/>
      <w:r w:rsidRPr="00ED36C3">
        <w:rPr>
          <w:rStyle w:val="FontStyle15"/>
          <w:b w:val="0"/>
          <w:sz w:val="22"/>
          <w:szCs w:val="22"/>
        </w:rPr>
        <w:t>льяновске, одним из лучших подобных объектов в Поволжье, но и внести существенный вклад в развитие экономики города. Группа ко</w:t>
      </w:r>
      <w:r w:rsidRPr="00ED36C3">
        <w:rPr>
          <w:rStyle w:val="FontStyle15"/>
          <w:b w:val="0"/>
          <w:sz w:val="22"/>
          <w:szCs w:val="22"/>
        </w:rPr>
        <w:t>м</w:t>
      </w:r>
      <w:r w:rsidRPr="00ED36C3">
        <w:rPr>
          <w:rStyle w:val="FontStyle15"/>
          <w:b w:val="0"/>
          <w:sz w:val="22"/>
          <w:szCs w:val="22"/>
        </w:rPr>
        <w:t xml:space="preserve">паний </w:t>
      </w:r>
      <w:r w:rsidRPr="00ED36C3">
        <w:rPr>
          <w:rStyle w:val="FontStyle15"/>
          <w:b w:val="0"/>
          <w:sz w:val="22"/>
          <w:szCs w:val="22"/>
          <w:lang w:val="en-US"/>
        </w:rPr>
        <w:t>DARS</w:t>
      </w:r>
      <w:r w:rsidRPr="00ED36C3">
        <w:rPr>
          <w:rStyle w:val="FontStyle15"/>
          <w:b w:val="0"/>
          <w:sz w:val="22"/>
          <w:szCs w:val="22"/>
        </w:rPr>
        <w:t xml:space="preserve"> расценивает результат строительства комплекса как признание эффек</w:t>
      </w:r>
      <w:r w:rsidRPr="00ED36C3">
        <w:rPr>
          <w:rStyle w:val="FontStyle15"/>
          <w:b w:val="0"/>
          <w:sz w:val="22"/>
          <w:szCs w:val="22"/>
        </w:rPr>
        <w:softHyphen/>
        <w:t>тивной работы всей команды и отражение инвестицио</w:t>
      </w:r>
      <w:r w:rsidRPr="00ED36C3">
        <w:rPr>
          <w:rStyle w:val="FontStyle15"/>
          <w:b w:val="0"/>
          <w:sz w:val="22"/>
          <w:szCs w:val="22"/>
        </w:rPr>
        <w:t>н</w:t>
      </w:r>
      <w:r w:rsidRPr="00ED36C3">
        <w:rPr>
          <w:rStyle w:val="FontStyle15"/>
          <w:b w:val="0"/>
          <w:sz w:val="22"/>
          <w:szCs w:val="22"/>
        </w:rPr>
        <w:t>ной при</w:t>
      </w:r>
      <w:r w:rsidRPr="00ED36C3">
        <w:rPr>
          <w:rStyle w:val="FontStyle15"/>
          <w:b w:val="0"/>
          <w:sz w:val="22"/>
          <w:szCs w:val="22"/>
        </w:rPr>
        <w:softHyphen/>
        <w:t>влекательности города.</w:t>
      </w:r>
    </w:p>
    <w:p w:rsidR="0044009A" w:rsidRPr="00ED36C3" w:rsidRDefault="0044009A" w:rsidP="0044009A">
      <w:pPr>
        <w:pStyle w:val="aa"/>
        <w:spacing w:line="240" w:lineRule="auto"/>
        <w:ind w:firstLine="720"/>
        <w:rPr>
          <w:rFonts w:cs="Arial"/>
          <w:sz w:val="22"/>
          <w:szCs w:val="22"/>
        </w:rPr>
      </w:pPr>
      <w:r w:rsidRPr="00ED36C3">
        <w:rPr>
          <w:rFonts w:cs="Arial"/>
          <w:sz w:val="22"/>
          <w:szCs w:val="22"/>
        </w:rPr>
        <w:t>Через город проходят важные авиационные, железнодорожные и автомобильные коммуникации всех направлений России, а та</w:t>
      </w:r>
      <w:r w:rsidRPr="00ED36C3">
        <w:rPr>
          <w:rFonts w:cs="Arial"/>
          <w:sz w:val="22"/>
          <w:szCs w:val="22"/>
        </w:rPr>
        <w:t>к</w:t>
      </w:r>
      <w:r w:rsidRPr="00ED36C3">
        <w:rPr>
          <w:rFonts w:cs="Arial"/>
          <w:sz w:val="22"/>
          <w:szCs w:val="22"/>
        </w:rPr>
        <w:t xml:space="preserve">же воздушные международные линии. </w:t>
      </w:r>
      <w:proofErr w:type="gramStart"/>
      <w:r w:rsidRPr="00ED36C3">
        <w:rPr>
          <w:rFonts w:cs="Arial"/>
          <w:sz w:val="22"/>
          <w:szCs w:val="22"/>
        </w:rPr>
        <w:t>Город имеет грузовой и пассажирский речные порты, аэропорты (один – со статусом междунаро</w:t>
      </w:r>
      <w:r w:rsidRPr="00ED36C3">
        <w:rPr>
          <w:rFonts w:cs="Arial"/>
          <w:sz w:val="22"/>
          <w:szCs w:val="22"/>
        </w:rPr>
        <w:t>д</w:t>
      </w:r>
      <w:r w:rsidRPr="00ED36C3">
        <w:rPr>
          <w:rFonts w:cs="Arial"/>
          <w:sz w:val="22"/>
          <w:szCs w:val="22"/>
        </w:rPr>
        <w:t>ного), является крупным автомобильным узлом, соединяющим центр, западные округа страны с Уралом и Сибирью.</w:t>
      </w:r>
      <w:proofErr w:type="gramEnd"/>
    </w:p>
    <w:p w:rsidR="0044009A" w:rsidRPr="00ED36C3" w:rsidRDefault="0044009A" w:rsidP="0044009A">
      <w:pPr>
        <w:pStyle w:val="22"/>
        <w:spacing w:line="240" w:lineRule="auto"/>
        <w:rPr>
          <w:rFonts w:cs="Arial"/>
          <w:sz w:val="22"/>
          <w:szCs w:val="22"/>
        </w:rPr>
      </w:pPr>
      <w:r w:rsidRPr="00ED36C3">
        <w:rPr>
          <w:rFonts w:cs="Arial"/>
          <w:sz w:val="22"/>
          <w:szCs w:val="22"/>
        </w:rPr>
        <w:t>Ульяновск – один из высокообразованных городов России. В городе насчитывается 95 государственных дневных общеобразов</w:t>
      </w:r>
      <w:r w:rsidRPr="00ED36C3">
        <w:rPr>
          <w:rFonts w:cs="Arial"/>
          <w:sz w:val="22"/>
          <w:szCs w:val="22"/>
        </w:rPr>
        <w:t>а</w:t>
      </w:r>
      <w:r w:rsidRPr="00ED36C3">
        <w:rPr>
          <w:rFonts w:cs="Arial"/>
          <w:sz w:val="22"/>
          <w:szCs w:val="22"/>
        </w:rPr>
        <w:t>тельных учреждений (в том числе 12 гимназий и 8 лицеев), 6 вечерних общеобразовательных учреждений, 11 учебных заведений пр</w:t>
      </w:r>
      <w:r w:rsidRPr="00ED36C3">
        <w:rPr>
          <w:rFonts w:cs="Arial"/>
          <w:sz w:val="22"/>
          <w:szCs w:val="22"/>
        </w:rPr>
        <w:t>о</w:t>
      </w:r>
      <w:r w:rsidRPr="00ED36C3">
        <w:rPr>
          <w:rFonts w:cs="Arial"/>
          <w:sz w:val="22"/>
          <w:szCs w:val="22"/>
        </w:rPr>
        <w:t>фессионально-технического образования, 27 образовательных учреждений среднего профессионального образования, 10 высших гос</w:t>
      </w:r>
      <w:r w:rsidRPr="00ED36C3">
        <w:rPr>
          <w:rFonts w:cs="Arial"/>
          <w:sz w:val="22"/>
          <w:szCs w:val="22"/>
        </w:rPr>
        <w:t>у</w:t>
      </w:r>
      <w:r w:rsidRPr="00ED36C3">
        <w:rPr>
          <w:rFonts w:cs="Arial"/>
          <w:sz w:val="22"/>
          <w:szCs w:val="22"/>
        </w:rPr>
        <w:t xml:space="preserve">дарственных и негосударственных учебных заведений (включая филиалы). Общее число учащихся и студентов в них 104,7 тыс. человек (16,8%  численности населения города). </w:t>
      </w:r>
    </w:p>
    <w:p w:rsidR="0044009A" w:rsidRPr="00ED36C3" w:rsidRDefault="0044009A" w:rsidP="0044009A">
      <w:pPr>
        <w:pStyle w:val="22"/>
        <w:spacing w:line="240" w:lineRule="auto"/>
        <w:rPr>
          <w:rFonts w:cs="Arial"/>
          <w:sz w:val="22"/>
          <w:szCs w:val="22"/>
        </w:rPr>
      </w:pPr>
      <w:r w:rsidRPr="00ED36C3">
        <w:rPr>
          <w:rFonts w:cs="Arial"/>
          <w:sz w:val="22"/>
          <w:szCs w:val="22"/>
        </w:rPr>
        <w:t xml:space="preserve">В 35 больничных (на 8,2 тыс. коек), 70 амбулаторно-поликлинических учреждениях, 39 женских консультациях, кабинетах и 7 фельдшерско-акушерских пунктах города трудится 3,4 тыс. врачей и 10,3 тыс. работников среднего медицинского персонала.          </w:t>
      </w:r>
    </w:p>
    <w:p w:rsidR="006C200B" w:rsidRDefault="006C200B">
      <w:pPr>
        <w:rPr>
          <w:rFonts w:ascii="Arial" w:hAnsi="Arial" w:cs="Arial"/>
          <w:sz w:val="22"/>
          <w:szCs w:val="22"/>
        </w:rPr>
      </w:pPr>
      <w:r>
        <w:rPr>
          <w:rFonts w:ascii="Arial" w:hAnsi="Arial" w:cs="Arial"/>
          <w:sz w:val="22"/>
          <w:szCs w:val="22"/>
        </w:rPr>
        <w:br w:type="page"/>
      </w:r>
    </w:p>
    <w:p w:rsidR="0044009A" w:rsidRPr="00ED36C3" w:rsidRDefault="0044009A" w:rsidP="0044009A">
      <w:pPr>
        <w:jc w:val="both"/>
        <w:rPr>
          <w:rFonts w:ascii="Arial" w:hAnsi="Arial" w:cs="Arial"/>
          <w:sz w:val="22"/>
          <w:szCs w:val="22"/>
        </w:rPr>
      </w:pPr>
      <w:r>
        <w:rPr>
          <w:noProof/>
          <w:sz w:val="16"/>
        </w:rPr>
        <w:lastRenderedPageBreak/>
        <w:drawing>
          <wp:anchor distT="0" distB="0" distL="114300" distR="114300" simplePos="0" relativeHeight="251742208" behindDoc="1" locked="0" layoutInCell="1" allowOverlap="1">
            <wp:simplePos x="0" y="0"/>
            <wp:positionH relativeFrom="column">
              <wp:posOffset>46355</wp:posOffset>
            </wp:positionH>
            <wp:positionV relativeFrom="paragraph">
              <wp:posOffset>-40005</wp:posOffset>
            </wp:positionV>
            <wp:extent cx="1905635" cy="1354455"/>
            <wp:effectExtent l="0" t="0" r="0" b="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5">
                      <a:lum bright="6000"/>
                    </a:blip>
                    <a:srcRect/>
                    <a:stretch>
                      <a:fillRect/>
                    </a:stretch>
                  </pic:blipFill>
                  <pic:spPr bwMode="auto">
                    <a:xfrm>
                      <a:off x="0" y="0"/>
                      <a:ext cx="1905635" cy="1354455"/>
                    </a:xfrm>
                    <a:prstGeom prst="rect">
                      <a:avLst/>
                    </a:prstGeom>
                    <a:noFill/>
                  </pic:spPr>
                </pic:pic>
              </a:graphicData>
            </a:graphic>
          </wp:anchor>
        </w:drawing>
      </w:r>
      <w:r w:rsidRPr="00ED36C3">
        <w:rPr>
          <w:rFonts w:ascii="Arial" w:hAnsi="Arial" w:cs="Arial"/>
          <w:sz w:val="22"/>
          <w:szCs w:val="22"/>
        </w:rPr>
        <w:t xml:space="preserve">Важнейшим ресурсом модернизации </w:t>
      </w:r>
      <w:r w:rsidRPr="00ED36C3">
        <w:rPr>
          <w:rFonts w:ascii="Arial" w:hAnsi="Arial" w:cs="Arial"/>
          <w:bCs/>
          <w:sz w:val="22"/>
          <w:szCs w:val="22"/>
        </w:rPr>
        <w:t>экономики</w:t>
      </w:r>
      <w:r w:rsidRPr="00ED36C3">
        <w:rPr>
          <w:rFonts w:ascii="Arial" w:hAnsi="Arial" w:cs="Arial"/>
          <w:sz w:val="22"/>
          <w:szCs w:val="22"/>
        </w:rPr>
        <w:t xml:space="preserve"> и социальной сферы является культурная составляющая. </w:t>
      </w:r>
      <w:r w:rsidRPr="00ED36C3">
        <w:rPr>
          <w:rFonts w:ascii="Arial" w:hAnsi="Arial" w:cs="Arial"/>
          <w:bCs/>
          <w:sz w:val="22"/>
          <w:szCs w:val="22"/>
        </w:rPr>
        <w:t>В2011году</w:t>
      </w:r>
      <w:r w:rsidRPr="00ED36C3">
        <w:rPr>
          <w:rFonts w:ascii="Arial" w:hAnsi="Arial" w:cs="Arial"/>
          <w:sz w:val="22"/>
          <w:szCs w:val="22"/>
        </w:rPr>
        <w:t xml:space="preserve"> город получили статус "</w:t>
      </w:r>
      <w:r w:rsidRPr="00ED36C3">
        <w:rPr>
          <w:rFonts w:ascii="Arial" w:hAnsi="Arial" w:cs="Arial"/>
          <w:bCs/>
          <w:sz w:val="22"/>
          <w:szCs w:val="22"/>
        </w:rPr>
        <w:t>Ульяновск</w:t>
      </w:r>
      <w:r w:rsidRPr="00ED36C3">
        <w:rPr>
          <w:rFonts w:ascii="Arial" w:hAnsi="Arial" w:cs="Arial"/>
          <w:sz w:val="22"/>
          <w:szCs w:val="22"/>
        </w:rPr>
        <w:t xml:space="preserve"> – культурная столица стран содружества СНГ". Культурная столица – это не просто статус, это, прежде всего, возмо</w:t>
      </w:r>
      <w:r w:rsidRPr="00ED36C3">
        <w:rPr>
          <w:rFonts w:ascii="Arial" w:hAnsi="Arial" w:cs="Arial"/>
          <w:sz w:val="22"/>
          <w:szCs w:val="22"/>
        </w:rPr>
        <w:t>ж</w:t>
      </w:r>
      <w:r w:rsidRPr="00ED36C3">
        <w:rPr>
          <w:rFonts w:ascii="Arial" w:hAnsi="Arial" w:cs="Arial"/>
          <w:sz w:val="22"/>
          <w:szCs w:val="22"/>
        </w:rPr>
        <w:t>ность изменений культурной среды, а также  программа действий Правительства Ульяновской области в сфере культуры, которая позволила Ульяно</w:t>
      </w:r>
      <w:r w:rsidRPr="00ED36C3">
        <w:rPr>
          <w:rFonts w:ascii="Arial" w:hAnsi="Arial" w:cs="Arial"/>
          <w:sz w:val="22"/>
          <w:szCs w:val="22"/>
        </w:rPr>
        <w:t>в</w:t>
      </w:r>
      <w:r w:rsidRPr="00ED36C3">
        <w:rPr>
          <w:rFonts w:ascii="Arial" w:hAnsi="Arial" w:cs="Arial"/>
          <w:sz w:val="22"/>
          <w:szCs w:val="22"/>
        </w:rPr>
        <w:t>ской области войти в десятку передовых регионов России. Цель программы: поддержание благоприятного климата в Уль</w:t>
      </w:r>
      <w:r w:rsidRPr="00ED36C3">
        <w:rPr>
          <w:rFonts w:ascii="Arial" w:hAnsi="Arial" w:cs="Arial"/>
          <w:sz w:val="22"/>
          <w:szCs w:val="22"/>
        </w:rPr>
        <w:t>я</w:t>
      </w:r>
      <w:r w:rsidRPr="00ED36C3">
        <w:rPr>
          <w:rFonts w:ascii="Arial" w:hAnsi="Arial" w:cs="Arial"/>
          <w:sz w:val="22"/>
          <w:szCs w:val="22"/>
        </w:rPr>
        <w:t>новской области для дальнейшего экономического роста и повышения инвестиционной привлекательности региона, создание условий межкультурного диалога как основы доверия и взаимоп</w:t>
      </w:r>
      <w:r w:rsidRPr="00ED36C3">
        <w:rPr>
          <w:rFonts w:ascii="Arial" w:hAnsi="Arial" w:cs="Arial"/>
          <w:sz w:val="22"/>
          <w:szCs w:val="22"/>
        </w:rPr>
        <w:t>о</w:t>
      </w:r>
      <w:r w:rsidRPr="00ED36C3">
        <w:rPr>
          <w:rFonts w:ascii="Arial" w:hAnsi="Arial" w:cs="Arial"/>
          <w:sz w:val="22"/>
          <w:szCs w:val="22"/>
        </w:rPr>
        <w:t xml:space="preserve">нимания в обществе, как средства противодействия национализму, радикализму и ксенофобии. </w:t>
      </w:r>
    </w:p>
    <w:p w:rsidR="0044009A" w:rsidRPr="00ED36C3" w:rsidRDefault="0044009A" w:rsidP="0044009A">
      <w:pPr>
        <w:jc w:val="both"/>
        <w:rPr>
          <w:rFonts w:ascii="Arial" w:hAnsi="Arial" w:cs="Arial"/>
          <w:bCs/>
          <w:sz w:val="22"/>
          <w:szCs w:val="22"/>
        </w:rPr>
      </w:pPr>
      <w:r w:rsidRPr="00ED36C3">
        <w:rPr>
          <w:rFonts w:ascii="Arial" w:hAnsi="Arial" w:cs="Arial"/>
          <w:bCs/>
          <w:sz w:val="22"/>
          <w:szCs w:val="22"/>
        </w:rPr>
        <w:t>Самым знаковым событием в жизни города и региона стал Международный конгресс "Культура как ресурс модернизации"</w:t>
      </w:r>
      <w:r w:rsidRPr="00ED36C3">
        <w:rPr>
          <w:rFonts w:ascii="Arial" w:hAnsi="Arial" w:cs="Arial"/>
          <w:sz w:val="22"/>
          <w:szCs w:val="22"/>
        </w:rPr>
        <w:t>, организованный при поддержке Администрации Президента Российской Федерации, Министерства культуры Российской Федерации, Совета Европы, МФГС, Фонда "Культурная столица". В регион приехало более 700 гостей – участников форума. Среди них  народные и заслуженные художники России, руководство Центра национальной славы, деятели культуры, науки и образования, студе</w:t>
      </w:r>
      <w:r w:rsidRPr="00ED36C3">
        <w:rPr>
          <w:rFonts w:ascii="Arial" w:hAnsi="Arial" w:cs="Arial"/>
          <w:sz w:val="22"/>
          <w:szCs w:val="22"/>
        </w:rPr>
        <w:t>н</w:t>
      </w:r>
      <w:r w:rsidRPr="00ED36C3">
        <w:rPr>
          <w:rFonts w:ascii="Arial" w:hAnsi="Arial" w:cs="Arial"/>
          <w:sz w:val="22"/>
          <w:szCs w:val="22"/>
        </w:rPr>
        <w:t>ты Российского университета дружбы народов, более двухсот российских и международных журналистов, представителей Междунаро</w:t>
      </w:r>
      <w:r w:rsidRPr="00ED36C3">
        <w:rPr>
          <w:rFonts w:ascii="Arial" w:hAnsi="Arial" w:cs="Arial"/>
          <w:sz w:val="22"/>
          <w:szCs w:val="22"/>
        </w:rPr>
        <w:t>д</w:t>
      </w:r>
      <w:r w:rsidRPr="00ED36C3">
        <w:rPr>
          <w:rFonts w:ascii="Arial" w:hAnsi="Arial" w:cs="Arial"/>
          <w:sz w:val="22"/>
          <w:szCs w:val="22"/>
        </w:rPr>
        <w:t>ных организаций Европы, деятелей культуры и политических деятелей Европы;  деятелей культуры стран СНГ, 8 Чрезвычайных и По</w:t>
      </w:r>
      <w:r w:rsidRPr="00ED36C3">
        <w:rPr>
          <w:rFonts w:ascii="Arial" w:hAnsi="Arial" w:cs="Arial"/>
          <w:sz w:val="22"/>
          <w:szCs w:val="22"/>
        </w:rPr>
        <w:t>л</w:t>
      </w:r>
      <w:r w:rsidRPr="00ED36C3">
        <w:rPr>
          <w:rFonts w:ascii="Arial" w:hAnsi="Arial" w:cs="Arial"/>
          <w:sz w:val="22"/>
          <w:szCs w:val="22"/>
        </w:rPr>
        <w:t>номочных Послов, представителей дипмиссий и представительства министе</w:t>
      </w:r>
      <w:proofErr w:type="gramStart"/>
      <w:r w:rsidRPr="00ED36C3">
        <w:rPr>
          <w:rFonts w:ascii="Arial" w:hAnsi="Arial" w:cs="Arial"/>
          <w:sz w:val="22"/>
          <w:szCs w:val="22"/>
        </w:rPr>
        <w:t>рств Пр</w:t>
      </w:r>
      <w:proofErr w:type="gramEnd"/>
      <w:r w:rsidRPr="00ED36C3">
        <w:rPr>
          <w:rFonts w:ascii="Arial" w:hAnsi="Arial" w:cs="Arial"/>
          <w:sz w:val="22"/>
          <w:szCs w:val="22"/>
        </w:rPr>
        <w:t xml:space="preserve">авительства России, членов Межгосударственного Фонда Гуманитарного сотрудничества, 80 министров культуры Российской Федерации. </w:t>
      </w:r>
      <w:r w:rsidRPr="00ED36C3">
        <w:rPr>
          <w:rFonts w:ascii="Arial" w:hAnsi="Arial" w:cs="Arial"/>
          <w:bCs/>
          <w:sz w:val="22"/>
          <w:szCs w:val="22"/>
        </w:rPr>
        <w:t>Такое представительство говорит о том, что рег</w:t>
      </w:r>
      <w:r w:rsidRPr="00ED36C3">
        <w:rPr>
          <w:rFonts w:ascii="Arial" w:hAnsi="Arial" w:cs="Arial"/>
          <w:bCs/>
          <w:sz w:val="22"/>
          <w:szCs w:val="22"/>
        </w:rPr>
        <w:t>и</w:t>
      </w:r>
      <w:r w:rsidRPr="00ED36C3">
        <w:rPr>
          <w:rFonts w:ascii="Arial" w:hAnsi="Arial" w:cs="Arial"/>
          <w:bCs/>
          <w:sz w:val="22"/>
          <w:szCs w:val="22"/>
        </w:rPr>
        <w:t xml:space="preserve">он появился в российском и международном политическом контексте, что именно Ульяновская область стала главной дискуссионной площадкой по обсуждению культурной политики, что именно наш регион внёс культуру в политическую повестку дня. </w:t>
      </w:r>
      <w:r w:rsidRPr="00ED36C3">
        <w:rPr>
          <w:rFonts w:ascii="Arial" w:hAnsi="Arial" w:cs="Arial"/>
          <w:sz w:val="22"/>
          <w:szCs w:val="22"/>
        </w:rPr>
        <w:t>Конгресс состоял из очень насыщенной культурной программы, каждая часть которой стала явлением для наших гостей и жителей города. На Конгрессе был принят основной постулат о том, что культура является ресурсом развития и модернизации общества, фактором гражданской активности и экономической стабильности.</w:t>
      </w:r>
    </w:p>
    <w:p w:rsidR="0044009A" w:rsidRPr="00ED36C3" w:rsidRDefault="0044009A" w:rsidP="0044009A">
      <w:pPr>
        <w:ind w:firstLine="720"/>
        <w:jc w:val="both"/>
        <w:rPr>
          <w:rFonts w:ascii="Arial" w:hAnsi="Arial" w:cs="Arial"/>
          <w:sz w:val="22"/>
          <w:szCs w:val="22"/>
        </w:rPr>
      </w:pPr>
      <w:r w:rsidRPr="00ED36C3">
        <w:rPr>
          <w:rFonts w:ascii="Arial" w:hAnsi="Arial" w:cs="Arial"/>
          <w:sz w:val="22"/>
          <w:szCs w:val="22"/>
        </w:rPr>
        <w:t>В Ульяновске состоялась первая Всероссийская научно-практическая конференция, на пленарном заседании которой выступили: Президент Санкт-Петербургского государственного университета Л.А. Вербицкая;  директор государственного Эрмитажа М.Б. Пиотро</w:t>
      </w:r>
      <w:r w:rsidRPr="00ED36C3">
        <w:rPr>
          <w:rFonts w:ascii="Arial" w:hAnsi="Arial" w:cs="Arial"/>
          <w:sz w:val="22"/>
          <w:szCs w:val="22"/>
        </w:rPr>
        <w:t>в</w:t>
      </w:r>
      <w:r w:rsidRPr="00ED36C3">
        <w:rPr>
          <w:rFonts w:ascii="Arial" w:hAnsi="Arial" w:cs="Arial"/>
          <w:sz w:val="22"/>
          <w:szCs w:val="22"/>
        </w:rPr>
        <w:t xml:space="preserve">ский; директор Государственного </w:t>
      </w:r>
      <w:proofErr w:type="spellStart"/>
      <w:r w:rsidRPr="00ED36C3">
        <w:rPr>
          <w:rFonts w:ascii="Arial" w:hAnsi="Arial" w:cs="Arial"/>
          <w:sz w:val="22"/>
          <w:szCs w:val="22"/>
        </w:rPr>
        <w:t>музеея</w:t>
      </w:r>
      <w:proofErr w:type="spellEnd"/>
      <w:r w:rsidRPr="00ED36C3">
        <w:rPr>
          <w:rFonts w:ascii="Arial" w:hAnsi="Arial" w:cs="Arial"/>
          <w:sz w:val="22"/>
          <w:szCs w:val="22"/>
        </w:rPr>
        <w:t>-усадьбы "</w:t>
      </w:r>
      <w:proofErr w:type="spellStart"/>
      <w:r w:rsidRPr="00ED36C3">
        <w:rPr>
          <w:rFonts w:ascii="Arial" w:hAnsi="Arial" w:cs="Arial"/>
          <w:sz w:val="22"/>
          <w:szCs w:val="22"/>
        </w:rPr>
        <w:t>Остафьево</w:t>
      </w:r>
      <w:proofErr w:type="spellEnd"/>
      <w:r w:rsidRPr="00ED36C3">
        <w:rPr>
          <w:rFonts w:ascii="Arial" w:hAnsi="Arial" w:cs="Arial"/>
          <w:sz w:val="22"/>
          <w:szCs w:val="22"/>
        </w:rPr>
        <w:t xml:space="preserve">" – "Русский Парнас" А.С. </w:t>
      </w:r>
      <w:proofErr w:type="spellStart"/>
      <w:r w:rsidRPr="00ED36C3">
        <w:rPr>
          <w:rFonts w:ascii="Arial" w:hAnsi="Arial" w:cs="Arial"/>
          <w:sz w:val="22"/>
          <w:szCs w:val="22"/>
        </w:rPr>
        <w:t>Коршиков</w:t>
      </w:r>
      <w:proofErr w:type="spellEnd"/>
      <w:r w:rsidRPr="00ED36C3">
        <w:rPr>
          <w:rFonts w:ascii="Arial" w:hAnsi="Arial" w:cs="Arial"/>
          <w:sz w:val="22"/>
          <w:szCs w:val="22"/>
        </w:rPr>
        <w:t>. Знаковым событием стало Заседание попечительского совета общественного фонда "Центр национальной славы России" Председатель – Президент ОАО "РЖД" В.И. Якунин. Это перспектива нового культурного сотрудничества  и поддержка на самом серьёзном уровне проекта "</w:t>
      </w:r>
      <w:proofErr w:type="spellStart"/>
      <w:r w:rsidRPr="00ED36C3">
        <w:rPr>
          <w:rFonts w:ascii="Arial" w:hAnsi="Arial" w:cs="Arial"/>
          <w:sz w:val="22"/>
          <w:szCs w:val="22"/>
        </w:rPr>
        <w:t>Карамзинское</w:t>
      </w:r>
      <w:proofErr w:type="spellEnd"/>
      <w:r w:rsidRPr="00ED36C3">
        <w:rPr>
          <w:rFonts w:ascii="Arial" w:hAnsi="Arial" w:cs="Arial"/>
          <w:sz w:val="22"/>
          <w:szCs w:val="22"/>
        </w:rPr>
        <w:t xml:space="preserve"> движение: культ</w:t>
      </w:r>
      <w:r w:rsidRPr="00ED36C3">
        <w:rPr>
          <w:rFonts w:ascii="Arial" w:hAnsi="Arial" w:cs="Arial"/>
          <w:sz w:val="22"/>
          <w:szCs w:val="22"/>
        </w:rPr>
        <w:t>у</w:t>
      </w:r>
      <w:r w:rsidRPr="00ED36C3">
        <w:rPr>
          <w:rFonts w:ascii="Arial" w:hAnsi="Arial" w:cs="Arial"/>
          <w:sz w:val="22"/>
          <w:szCs w:val="22"/>
        </w:rPr>
        <w:t>ра и история". При поддержке Центра национальной славы в Научной библиотеке открыта мемориальная доска и бюст Николая Кара</w:t>
      </w:r>
      <w:r w:rsidRPr="00ED36C3">
        <w:rPr>
          <w:rFonts w:ascii="Arial" w:hAnsi="Arial" w:cs="Arial"/>
          <w:sz w:val="22"/>
          <w:szCs w:val="22"/>
        </w:rPr>
        <w:t>м</w:t>
      </w:r>
      <w:r w:rsidRPr="00ED36C3">
        <w:rPr>
          <w:rFonts w:ascii="Arial" w:hAnsi="Arial" w:cs="Arial"/>
          <w:sz w:val="22"/>
          <w:szCs w:val="22"/>
        </w:rPr>
        <w:t>зина в Областной научной библиотеке. Аэропорту "Центральный" присвоено имя Н.М. Карамзина.</w:t>
      </w:r>
    </w:p>
    <w:p w:rsidR="0044009A" w:rsidRPr="00ED36C3" w:rsidRDefault="0044009A" w:rsidP="0044009A">
      <w:pPr>
        <w:ind w:firstLine="720"/>
        <w:jc w:val="both"/>
        <w:rPr>
          <w:rFonts w:ascii="Arial" w:hAnsi="Arial" w:cs="Arial"/>
          <w:sz w:val="22"/>
          <w:szCs w:val="22"/>
        </w:rPr>
      </w:pPr>
      <w:r w:rsidRPr="00ED36C3">
        <w:rPr>
          <w:rFonts w:ascii="Arial" w:hAnsi="Arial" w:cs="Arial"/>
          <w:sz w:val="22"/>
          <w:szCs w:val="22"/>
        </w:rPr>
        <w:t>Международная ассамблея художников "</w:t>
      </w:r>
      <w:proofErr w:type="spellStart"/>
      <w:r w:rsidRPr="00ED36C3">
        <w:rPr>
          <w:rFonts w:ascii="Arial" w:hAnsi="Arial" w:cs="Arial"/>
          <w:sz w:val="22"/>
          <w:szCs w:val="22"/>
        </w:rPr>
        <w:t>Пластовская</w:t>
      </w:r>
      <w:proofErr w:type="spellEnd"/>
      <w:r w:rsidRPr="00ED36C3">
        <w:rPr>
          <w:rFonts w:ascii="Arial" w:hAnsi="Arial" w:cs="Arial"/>
          <w:sz w:val="22"/>
          <w:szCs w:val="22"/>
        </w:rPr>
        <w:t xml:space="preserve"> осень" позволила познакомиться горожанам с художниками-реалистами со всей России и стран СНГ. Подписано соглашение о сотрудничестве с Союзом художников. Более 200 работ народных и заслуженных художников России представлено на выставке. Учреждена новая и очень значимая в России Международная премия имени А.А. </w:t>
      </w:r>
      <w:proofErr w:type="spellStart"/>
      <w:proofErr w:type="gramStart"/>
      <w:r w:rsidRPr="00ED36C3">
        <w:rPr>
          <w:rFonts w:ascii="Arial" w:hAnsi="Arial" w:cs="Arial"/>
          <w:sz w:val="22"/>
          <w:szCs w:val="22"/>
        </w:rPr>
        <w:t>Пласт</w:t>
      </w:r>
      <w:r w:rsidRPr="00ED36C3">
        <w:rPr>
          <w:rFonts w:ascii="Arial" w:hAnsi="Arial" w:cs="Arial"/>
          <w:sz w:val="22"/>
          <w:szCs w:val="22"/>
        </w:rPr>
        <w:t>о</w:t>
      </w:r>
      <w:r w:rsidRPr="00ED36C3">
        <w:rPr>
          <w:rFonts w:ascii="Arial" w:hAnsi="Arial" w:cs="Arial"/>
          <w:sz w:val="22"/>
          <w:szCs w:val="22"/>
        </w:rPr>
        <w:t>ва</w:t>
      </w:r>
      <w:proofErr w:type="spellEnd"/>
      <w:r w:rsidRPr="00ED36C3">
        <w:rPr>
          <w:rFonts w:ascii="Arial" w:hAnsi="Arial" w:cs="Arial"/>
          <w:sz w:val="22"/>
          <w:szCs w:val="22"/>
        </w:rPr>
        <w:t xml:space="preserve"> в</w:t>
      </w:r>
      <w:proofErr w:type="gramEnd"/>
      <w:r w:rsidRPr="00ED36C3">
        <w:rPr>
          <w:rFonts w:ascii="Arial" w:hAnsi="Arial" w:cs="Arial"/>
          <w:sz w:val="22"/>
          <w:szCs w:val="22"/>
        </w:rPr>
        <w:t xml:space="preserve"> размере 1 миллиона рублей.</w:t>
      </w:r>
    </w:p>
    <w:p w:rsidR="0044009A" w:rsidRPr="00ED36C3" w:rsidRDefault="0044009A" w:rsidP="0044009A">
      <w:pPr>
        <w:ind w:firstLine="720"/>
        <w:jc w:val="both"/>
        <w:rPr>
          <w:rFonts w:ascii="Arial" w:hAnsi="Arial" w:cs="Arial"/>
          <w:sz w:val="22"/>
          <w:szCs w:val="22"/>
        </w:rPr>
      </w:pPr>
      <w:r w:rsidRPr="00ED36C3">
        <w:rPr>
          <w:rFonts w:ascii="Arial" w:hAnsi="Arial" w:cs="Arial"/>
          <w:sz w:val="22"/>
          <w:szCs w:val="22"/>
        </w:rPr>
        <w:t>Наш город славится уникальной историей, богатым прошлым и мощным экономическим и культурным потенциалом. В его мног</w:t>
      </w:r>
      <w:r w:rsidRPr="00ED36C3">
        <w:rPr>
          <w:rFonts w:ascii="Arial" w:hAnsi="Arial" w:cs="Arial"/>
          <w:sz w:val="22"/>
          <w:szCs w:val="22"/>
        </w:rPr>
        <w:t>о</w:t>
      </w:r>
      <w:r w:rsidRPr="00ED36C3">
        <w:rPr>
          <w:rFonts w:ascii="Arial" w:hAnsi="Arial" w:cs="Arial"/>
          <w:sz w:val="22"/>
          <w:szCs w:val="22"/>
        </w:rPr>
        <w:t>гранном облике слились замечательная природа, уникальные памятники, классическая  архитектура. В городе проводится много истор</w:t>
      </w:r>
      <w:r w:rsidRPr="00ED36C3">
        <w:rPr>
          <w:rFonts w:ascii="Arial" w:hAnsi="Arial" w:cs="Arial"/>
          <w:sz w:val="22"/>
          <w:szCs w:val="22"/>
        </w:rPr>
        <w:t>и</w:t>
      </w:r>
      <w:r w:rsidRPr="00ED36C3">
        <w:rPr>
          <w:rFonts w:ascii="Arial" w:hAnsi="Arial" w:cs="Arial"/>
          <w:sz w:val="22"/>
          <w:szCs w:val="22"/>
        </w:rPr>
        <w:t>ко-культурных мероприятий различных уровней, включая международные. Переплетение множества национальных особенн</w:t>
      </w:r>
      <w:r w:rsidRPr="00ED36C3">
        <w:rPr>
          <w:rFonts w:ascii="Arial" w:hAnsi="Arial" w:cs="Arial"/>
          <w:sz w:val="22"/>
          <w:szCs w:val="22"/>
        </w:rPr>
        <w:t>о</w:t>
      </w:r>
      <w:r w:rsidRPr="00ED36C3">
        <w:rPr>
          <w:rFonts w:ascii="Arial" w:hAnsi="Arial" w:cs="Arial"/>
          <w:sz w:val="22"/>
          <w:szCs w:val="22"/>
        </w:rPr>
        <w:t>стей, веками складывающиеся культурные и образовательные традиции создали в городе неповторимую атмосферу.  Сегодня Ульяно</w:t>
      </w:r>
      <w:proofErr w:type="gramStart"/>
      <w:r w:rsidRPr="00ED36C3">
        <w:rPr>
          <w:rFonts w:ascii="Arial" w:hAnsi="Arial" w:cs="Arial"/>
          <w:sz w:val="22"/>
          <w:szCs w:val="22"/>
        </w:rPr>
        <w:t>вск пр</w:t>
      </w:r>
      <w:proofErr w:type="gramEnd"/>
      <w:r w:rsidRPr="00ED36C3">
        <w:rPr>
          <w:rFonts w:ascii="Arial" w:hAnsi="Arial" w:cs="Arial"/>
          <w:sz w:val="22"/>
          <w:szCs w:val="22"/>
        </w:rPr>
        <w:t>одолжает оставаться родиной талантов: в областном центре проживают активные, целеустремлённые, прогрессивные люди, которые вносят неоценимый вклад в развитие родного края.</w:t>
      </w:r>
    </w:p>
    <w:p w:rsidR="0044009A" w:rsidRDefault="0044009A" w:rsidP="0044009A">
      <w:pPr>
        <w:rPr>
          <w:rFonts w:ascii="Arial" w:hAnsi="Arial" w:cs="Arial"/>
          <w:b/>
          <w:sz w:val="22"/>
        </w:rPr>
      </w:pPr>
    </w:p>
    <w:p w:rsidR="0044009A" w:rsidRDefault="0044009A" w:rsidP="0044009A">
      <w:pPr>
        <w:ind w:left="709"/>
        <w:rPr>
          <w:rFonts w:cs="Arial"/>
          <w:sz w:val="22"/>
        </w:rPr>
      </w:pPr>
      <w:r>
        <w:rPr>
          <w:rFonts w:ascii="Arial" w:hAnsi="Arial" w:cs="Arial"/>
          <w:b/>
          <w:sz w:val="22"/>
        </w:rPr>
        <w:lastRenderedPageBreak/>
        <w:t>ДИМИТРОВГРАД</w:t>
      </w:r>
    </w:p>
    <w:p w:rsidR="0044009A" w:rsidRDefault="0044009A" w:rsidP="0044009A">
      <w:pPr>
        <w:rPr>
          <w:rFonts w:ascii="Arial" w:hAnsi="Arial" w:cs="Arial"/>
          <w:sz w:val="22"/>
        </w:rPr>
      </w:pPr>
    </w:p>
    <w:tbl>
      <w:tblPr>
        <w:tblW w:w="5000" w:type="pct"/>
        <w:jc w:val="center"/>
        <w:tblLook w:val="0000" w:firstRow="0" w:lastRow="0" w:firstColumn="0" w:lastColumn="0" w:noHBand="0" w:noVBand="0"/>
      </w:tblPr>
      <w:tblGrid>
        <w:gridCol w:w="3064"/>
        <w:gridCol w:w="9704"/>
        <w:gridCol w:w="1736"/>
      </w:tblGrid>
      <w:tr w:rsidR="0044009A" w:rsidTr="0044009A">
        <w:trPr>
          <w:trHeight w:val="1200"/>
          <w:jc w:val="center"/>
        </w:trPr>
        <w:tc>
          <w:tcPr>
            <w:tcW w:w="1015" w:type="pct"/>
            <w:vMerge w:val="restart"/>
          </w:tcPr>
          <w:p w:rsidR="0044009A" w:rsidRDefault="0044009A" w:rsidP="0044009A">
            <w:pPr>
              <w:spacing w:before="60" w:after="60"/>
              <w:jc w:val="center"/>
              <w:rPr>
                <w:rFonts w:ascii="Arial" w:hAnsi="Arial" w:cs="Arial"/>
                <w:b/>
                <w:sz w:val="22"/>
              </w:rPr>
            </w:pPr>
            <w:r>
              <w:rPr>
                <w:rFonts w:ascii="Arial" w:hAnsi="Arial" w:cs="Arial"/>
                <w:b/>
                <w:noProof/>
                <w:sz w:val="22"/>
              </w:rPr>
              <w:drawing>
                <wp:inline distT="0" distB="0" distL="0" distR="0">
                  <wp:extent cx="972185" cy="1203325"/>
                  <wp:effectExtent l="19050" t="0" r="0" b="0"/>
                  <wp:docPr id="23" name="Рисунок 36" descr="герб_Димитровгр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герб_Димитровграда.jpg"/>
                          <pic:cNvPicPr>
                            <a:picLocks noChangeAspect="1" noChangeArrowheads="1"/>
                          </pic:cNvPicPr>
                        </pic:nvPicPr>
                        <pic:blipFill>
                          <a:blip r:embed="rId26"/>
                          <a:srcRect/>
                          <a:stretch>
                            <a:fillRect/>
                          </a:stretch>
                        </pic:blipFill>
                        <pic:spPr bwMode="auto">
                          <a:xfrm>
                            <a:off x="0" y="0"/>
                            <a:ext cx="972185" cy="1203325"/>
                          </a:xfrm>
                          <a:prstGeom prst="rect">
                            <a:avLst/>
                          </a:prstGeom>
                          <a:noFill/>
                          <a:ln w="9525">
                            <a:noFill/>
                            <a:miter lim="800000"/>
                            <a:headEnd/>
                            <a:tailEnd/>
                          </a:ln>
                        </pic:spPr>
                      </pic:pic>
                    </a:graphicData>
                  </a:graphic>
                </wp:inline>
              </w:drawing>
            </w:r>
          </w:p>
        </w:tc>
        <w:tc>
          <w:tcPr>
            <w:tcW w:w="3215" w:type="pct"/>
          </w:tcPr>
          <w:p w:rsidR="0044009A" w:rsidRDefault="0044009A" w:rsidP="0044009A">
            <w:pPr>
              <w:spacing w:before="60" w:after="60"/>
              <w:rPr>
                <w:rFonts w:ascii="Arial" w:hAnsi="Arial" w:cs="Arial"/>
                <w:b/>
                <w:sz w:val="22"/>
              </w:rPr>
            </w:pPr>
            <w:r>
              <w:rPr>
                <w:rFonts w:ascii="Arial" w:hAnsi="Arial" w:cs="Arial"/>
                <w:b/>
                <w:sz w:val="22"/>
              </w:rPr>
              <w:t xml:space="preserve">Население </w:t>
            </w:r>
          </w:p>
          <w:p w:rsidR="0044009A" w:rsidRPr="00294375" w:rsidRDefault="0044009A" w:rsidP="0044009A">
            <w:pPr>
              <w:spacing w:before="60" w:after="60"/>
              <w:rPr>
                <w:sz w:val="18"/>
                <w:szCs w:val="18"/>
              </w:rPr>
            </w:pPr>
            <w:r>
              <w:rPr>
                <w:rFonts w:ascii="Arial" w:hAnsi="Arial" w:cs="Arial"/>
                <w:sz w:val="22"/>
              </w:rPr>
              <w:t>(численность постоянного населения на 1 января 2012 года, тыс. человек)</w:t>
            </w:r>
          </w:p>
        </w:tc>
        <w:tc>
          <w:tcPr>
            <w:tcW w:w="575" w:type="pct"/>
            <w:vAlign w:val="center"/>
          </w:tcPr>
          <w:p w:rsidR="0044009A" w:rsidRDefault="0044009A" w:rsidP="0044009A">
            <w:pPr>
              <w:spacing w:before="60" w:after="60"/>
              <w:jc w:val="center"/>
              <w:rPr>
                <w:rFonts w:ascii="Arial" w:hAnsi="Arial" w:cs="Arial"/>
                <w:b/>
                <w:sz w:val="22"/>
              </w:rPr>
            </w:pPr>
            <w:r>
              <w:rPr>
                <w:rFonts w:ascii="Arial" w:hAnsi="Arial" w:cs="Arial"/>
                <w:b/>
                <w:sz w:val="22"/>
              </w:rPr>
              <w:t>121,5</w:t>
            </w:r>
          </w:p>
        </w:tc>
      </w:tr>
      <w:tr w:rsidR="0044009A" w:rsidTr="0044009A">
        <w:trPr>
          <w:jc w:val="center"/>
        </w:trPr>
        <w:tc>
          <w:tcPr>
            <w:tcW w:w="1015" w:type="pct"/>
            <w:vMerge/>
          </w:tcPr>
          <w:p w:rsidR="0044009A" w:rsidRDefault="0044009A" w:rsidP="0044009A">
            <w:pPr>
              <w:spacing w:before="60" w:after="60"/>
              <w:rPr>
                <w:rFonts w:ascii="Arial" w:hAnsi="Arial" w:cs="Arial"/>
                <w:b/>
                <w:sz w:val="22"/>
              </w:rPr>
            </w:pPr>
          </w:p>
        </w:tc>
        <w:tc>
          <w:tcPr>
            <w:tcW w:w="3215" w:type="pct"/>
          </w:tcPr>
          <w:p w:rsidR="0044009A" w:rsidRDefault="0044009A" w:rsidP="0044009A">
            <w:pPr>
              <w:spacing w:before="60" w:after="60"/>
              <w:rPr>
                <w:rFonts w:ascii="Arial" w:hAnsi="Arial" w:cs="Arial"/>
                <w:sz w:val="22"/>
              </w:rPr>
            </w:pPr>
            <w:r>
              <w:rPr>
                <w:rFonts w:ascii="Arial" w:hAnsi="Arial" w:cs="Arial"/>
                <w:b/>
                <w:sz w:val="22"/>
              </w:rPr>
              <w:t xml:space="preserve">Территория </w:t>
            </w:r>
            <w:r>
              <w:rPr>
                <w:rFonts w:ascii="Arial" w:hAnsi="Arial" w:cs="Arial"/>
                <w:sz w:val="22"/>
              </w:rPr>
              <w:t>(кв. км)</w:t>
            </w:r>
          </w:p>
        </w:tc>
        <w:tc>
          <w:tcPr>
            <w:tcW w:w="575" w:type="pct"/>
          </w:tcPr>
          <w:p w:rsidR="0044009A" w:rsidRPr="00257539" w:rsidRDefault="0044009A" w:rsidP="0044009A">
            <w:pPr>
              <w:spacing w:before="60" w:after="60"/>
              <w:jc w:val="center"/>
              <w:rPr>
                <w:rFonts w:ascii="Arial" w:hAnsi="Arial" w:cs="Arial"/>
                <w:b/>
                <w:sz w:val="22"/>
              </w:rPr>
            </w:pPr>
            <w:r w:rsidRPr="00257539">
              <w:rPr>
                <w:rFonts w:ascii="Arial" w:hAnsi="Arial" w:cs="Arial"/>
                <w:b/>
                <w:sz w:val="22"/>
              </w:rPr>
              <w:t>41,5</w:t>
            </w:r>
          </w:p>
        </w:tc>
      </w:tr>
    </w:tbl>
    <w:p w:rsidR="0044009A" w:rsidRPr="009B2DA1" w:rsidRDefault="0044009A" w:rsidP="0044009A">
      <w:pPr>
        <w:widowControl w:val="0"/>
        <w:spacing w:before="120"/>
        <w:ind w:firstLine="720"/>
        <w:jc w:val="both"/>
        <w:rPr>
          <w:rFonts w:ascii="Arial" w:hAnsi="Arial" w:cs="Arial"/>
          <w:sz w:val="22"/>
          <w:szCs w:val="22"/>
        </w:rPr>
      </w:pPr>
      <w:r w:rsidRPr="009B2DA1">
        <w:rPr>
          <w:rFonts w:ascii="Arial" w:hAnsi="Arial" w:cs="Arial"/>
          <w:sz w:val="22"/>
          <w:szCs w:val="22"/>
        </w:rPr>
        <w:t xml:space="preserve">Димитровград (бывший Мелекесс) – город областного подчинения, административный центр </w:t>
      </w:r>
      <w:proofErr w:type="spellStart"/>
      <w:r w:rsidRPr="009B2DA1">
        <w:rPr>
          <w:rFonts w:ascii="Arial" w:hAnsi="Arial" w:cs="Arial"/>
          <w:sz w:val="22"/>
          <w:szCs w:val="22"/>
        </w:rPr>
        <w:t>Мелекесского</w:t>
      </w:r>
      <w:proofErr w:type="spellEnd"/>
      <w:r w:rsidRPr="009B2DA1">
        <w:rPr>
          <w:rFonts w:ascii="Arial" w:hAnsi="Arial" w:cs="Arial"/>
          <w:sz w:val="22"/>
          <w:szCs w:val="22"/>
        </w:rPr>
        <w:t xml:space="preserve"> района. Расположен в 80 км к востоку от Ульяновска на реках Мелекесс и Большой Черемшан. Основан в первой половине 18 века как посад при казенном в</w:t>
      </w:r>
      <w:r w:rsidRPr="009B2DA1">
        <w:rPr>
          <w:rFonts w:ascii="Arial" w:hAnsi="Arial" w:cs="Arial"/>
          <w:sz w:val="22"/>
          <w:szCs w:val="22"/>
        </w:rPr>
        <w:t>и</w:t>
      </w:r>
      <w:r w:rsidRPr="009B2DA1">
        <w:rPr>
          <w:rFonts w:ascii="Arial" w:hAnsi="Arial" w:cs="Arial"/>
          <w:sz w:val="22"/>
          <w:szCs w:val="22"/>
        </w:rPr>
        <w:t xml:space="preserve">нокуренном заводе, построенном в 1706 году симбирским купцом Осипом Твердышевым. </w:t>
      </w:r>
    </w:p>
    <w:p w:rsidR="0044009A" w:rsidRPr="009B2DA1" w:rsidRDefault="0044009A" w:rsidP="0044009A">
      <w:pPr>
        <w:widowControl w:val="0"/>
        <w:ind w:firstLine="720"/>
        <w:jc w:val="both"/>
        <w:rPr>
          <w:rFonts w:ascii="Arial" w:hAnsi="Arial" w:cs="Arial"/>
          <w:sz w:val="22"/>
          <w:szCs w:val="22"/>
        </w:rPr>
      </w:pPr>
      <w:r w:rsidRPr="009B2DA1">
        <w:rPr>
          <w:rFonts w:ascii="Arial" w:hAnsi="Arial" w:cs="Arial"/>
          <w:sz w:val="22"/>
          <w:szCs w:val="22"/>
        </w:rPr>
        <w:t>С 19 февраля 1943 года Мелекесс – в составе Ульяновской области.</w:t>
      </w:r>
    </w:p>
    <w:p w:rsidR="0044009A" w:rsidRPr="009B2DA1" w:rsidRDefault="0044009A" w:rsidP="0044009A">
      <w:pPr>
        <w:widowControl w:val="0"/>
        <w:ind w:firstLine="720"/>
        <w:jc w:val="both"/>
        <w:rPr>
          <w:rFonts w:ascii="Arial" w:hAnsi="Arial" w:cs="Arial"/>
          <w:sz w:val="22"/>
          <w:szCs w:val="22"/>
        </w:rPr>
      </w:pPr>
      <w:r w:rsidRPr="009B2DA1">
        <w:rPr>
          <w:rFonts w:ascii="Arial" w:hAnsi="Arial" w:cs="Arial"/>
          <w:sz w:val="22"/>
          <w:szCs w:val="22"/>
        </w:rPr>
        <w:t>15 июня 1972 года Мелекесс переименован в г. Димитровград в честь Георгия Димитрова – деятеля болгарского и международн</w:t>
      </w:r>
      <w:r w:rsidRPr="009B2DA1">
        <w:rPr>
          <w:rFonts w:ascii="Arial" w:hAnsi="Arial" w:cs="Arial"/>
          <w:sz w:val="22"/>
          <w:szCs w:val="22"/>
        </w:rPr>
        <w:t>о</w:t>
      </w:r>
      <w:r w:rsidRPr="009B2DA1">
        <w:rPr>
          <w:rFonts w:ascii="Arial" w:hAnsi="Arial" w:cs="Arial"/>
          <w:sz w:val="22"/>
          <w:szCs w:val="22"/>
        </w:rPr>
        <w:t>го коммунистического и рабочего движения.</w:t>
      </w:r>
    </w:p>
    <w:p w:rsidR="0044009A" w:rsidRPr="009B2DA1" w:rsidRDefault="0044009A" w:rsidP="0044009A">
      <w:pPr>
        <w:widowControl w:val="0"/>
        <w:ind w:firstLine="720"/>
        <w:jc w:val="both"/>
        <w:rPr>
          <w:rFonts w:ascii="Arial" w:hAnsi="Arial" w:cs="Arial"/>
          <w:sz w:val="22"/>
          <w:szCs w:val="22"/>
        </w:rPr>
      </w:pPr>
      <w:r w:rsidRPr="009B2DA1">
        <w:rPr>
          <w:rFonts w:ascii="Arial" w:hAnsi="Arial" w:cs="Arial"/>
          <w:sz w:val="22"/>
          <w:szCs w:val="22"/>
        </w:rPr>
        <w:t xml:space="preserve">Димитровград – второй город в Ульяновской области по численности населения и экономическому потенциалу. </w:t>
      </w:r>
    </w:p>
    <w:p w:rsidR="0044009A" w:rsidRPr="00E132D2" w:rsidRDefault="0044009A" w:rsidP="0044009A">
      <w:pPr>
        <w:pStyle w:val="aa"/>
        <w:spacing w:line="240" w:lineRule="auto"/>
        <w:rPr>
          <w:rFonts w:cs="Arial"/>
          <w:sz w:val="22"/>
          <w:szCs w:val="22"/>
        </w:rPr>
      </w:pPr>
      <w:r w:rsidRPr="00E132D2">
        <w:rPr>
          <w:rFonts w:cs="Arial"/>
          <w:sz w:val="22"/>
          <w:szCs w:val="22"/>
        </w:rPr>
        <w:t xml:space="preserve">Крупные и средние предприятия города выпускают </w:t>
      </w:r>
      <w:r w:rsidRPr="00720734">
        <w:rPr>
          <w:rFonts w:cs="Arial"/>
          <w:sz w:val="22"/>
          <w:szCs w:val="22"/>
        </w:rPr>
        <w:t>13,6%</w:t>
      </w:r>
      <w:r w:rsidRPr="00E132D2">
        <w:rPr>
          <w:rFonts w:cs="Arial"/>
          <w:sz w:val="22"/>
          <w:szCs w:val="22"/>
        </w:rPr>
        <w:t xml:space="preserve"> промышленной продукци</w:t>
      </w:r>
      <w:r>
        <w:rPr>
          <w:rFonts w:cs="Arial"/>
          <w:sz w:val="22"/>
          <w:szCs w:val="22"/>
        </w:rPr>
        <w:t>и Ульяновской области. В 2011</w:t>
      </w:r>
      <w:r w:rsidRPr="00E132D2">
        <w:rPr>
          <w:rFonts w:cs="Arial"/>
          <w:sz w:val="22"/>
          <w:szCs w:val="22"/>
        </w:rPr>
        <w:t xml:space="preserve"> году ими отгр</w:t>
      </w:r>
      <w:r w:rsidRPr="00E132D2">
        <w:rPr>
          <w:rFonts w:cs="Arial"/>
          <w:sz w:val="22"/>
          <w:szCs w:val="22"/>
        </w:rPr>
        <w:t>у</w:t>
      </w:r>
      <w:r w:rsidRPr="00E132D2">
        <w:rPr>
          <w:rFonts w:cs="Arial"/>
          <w:sz w:val="22"/>
          <w:szCs w:val="22"/>
        </w:rPr>
        <w:t xml:space="preserve">жено товаров собственного производства (услуг собственными силами) на сумму </w:t>
      </w:r>
      <w:r>
        <w:rPr>
          <w:rFonts w:cs="Arial"/>
          <w:sz w:val="22"/>
          <w:szCs w:val="22"/>
        </w:rPr>
        <w:t>20,2</w:t>
      </w:r>
      <w:r w:rsidRPr="00E132D2">
        <w:rPr>
          <w:rFonts w:cs="Arial"/>
          <w:sz w:val="22"/>
          <w:szCs w:val="22"/>
        </w:rPr>
        <w:t xml:space="preserve"> млрд. рублей. В структуре промышленного прои</w:t>
      </w:r>
      <w:r w:rsidRPr="00E132D2">
        <w:rPr>
          <w:rFonts w:cs="Arial"/>
          <w:sz w:val="22"/>
          <w:szCs w:val="22"/>
        </w:rPr>
        <w:t>з</w:t>
      </w:r>
      <w:r w:rsidRPr="00E132D2">
        <w:rPr>
          <w:rFonts w:cs="Arial"/>
          <w:sz w:val="22"/>
          <w:szCs w:val="22"/>
        </w:rPr>
        <w:t xml:space="preserve">водства продукция обрабатывающих производств занимает </w:t>
      </w:r>
      <w:r>
        <w:rPr>
          <w:rFonts w:cs="Arial"/>
          <w:sz w:val="22"/>
          <w:szCs w:val="22"/>
        </w:rPr>
        <w:t>84,7</w:t>
      </w:r>
      <w:r w:rsidRPr="00E132D2">
        <w:rPr>
          <w:rFonts w:cs="Arial"/>
          <w:sz w:val="22"/>
          <w:szCs w:val="22"/>
        </w:rPr>
        <w:t>%. На  промышленных предприятиях города производятся части и пр</w:t>
      </w:r>
      <w:r w:rsidRPr="00E132D2">
        <w:rPr>
          <w:rFonts w:cs="Arial"/>
          <w:sz w:val="22"/>
          <w:szCs w:val="22"/>
        </w:rPr>
        <w:t>и</w:t>
      </w:r>
      <w:r w:rsidRPr="00E132D2">
        <w:rPr>
          <w:rFonts w:cs="Arial"/>
          <w:sz w:val="22"/>
          <w:szCs w:val="22"/>
        </w:rPr>
        <w:t xml:space="preserve">надлежности для автотранспортных средств и их двигателей, </w:t>
      </w:r>
      <w:r>
        <w:rPr>
          <w:rFonts w:cs="Arial"/>
          <w:sz w:val="22"/>
          <w:szCs w:val="22"/>
        </w:rPr>
        <w:t xml:space="preserve">приборы и инструменты для измерения и контроля, </w:t>
      </w:r>
      <w:r w:rsidRPr="00E132D2">
        <w:rPr>
          <w:rFonts w:cs="Arial"/>
          <w:sz w:val="22"/>
          <w:szCs w:val="22"/>
        </w:rPr>
        <w:t>пластмассовые изд</w:t>
      </w:r>
      <w:r w:rsidRPr="00E132D2">
        <w:rPr>
          <w:rFonts w:cs="Arial"/>
          <w:sz w:val="22"/>
          <w:szCs w:val="22"/>
        </w:rPr>
        <w:t>е</w:t>
      </w:r>
      <w:r w:rsidRPr="00E132D2">
        <w:rPr>
          <w:rFonts w:cs="Arial"/>
          <w:sz w:val="22"/>
          <w:szCs w:val="22"/>
        </w:rPr>
        <w:t xml:space="preserve">лия, ткани, ковры и ковровые изделия, </w:t>
      </w:r>
      <w:r>
        <w:rPr>
          <w:rFonts w:cs="Arial"/>
          <w:sz w:val="22"/>
          <w:szCs w:val="22"/>
        </w:rPr>
        <w:t xml:space="preserve">мебель, </w:t>
      </w:r>
      <w:r w:rsidRPr="00E132D2">
        <w:rPr>
          <w:rFonts w:cs="Arial"/>
          <w:sz w:val="22"/>
          <w:szCs w:val="22"/>
        </w:rPr>
        <w:t>материалы нетканые, чулочно-носочные изделия, пищевые продукты.</w:t>
      </w:r>
    </w:p>
    <w:p w:rsidR="0044009A" w:rsidRPr="00443937" w:rsidRDefault="0044009A" w:rsidP="0044009A">
      <w:pPr>
        <w:pStyle w:val="aa"/>
        <w:spacing w:line="240" w:lineRule="auto"/>
        <w:rPr>
          <w:sz w:val="22"/>
          <w:szCs w:val="22"/>
        </w:rPr>
      </w:pPr>
      <w:r w:rsidRPr="009B2DA1">
        <w:rPr>
          <w:rFonts w:cs="Arial"/>
          <w:sz w:val="22"/>
          <w:szCs w:val="22"/>
        </w:rPr>
        <w:t xml:space="preserve">На территории Димитровграда работает крупнейший </w:t>
      </w:r>
      <w:r w:rsidRPr="00443937">
        <w:rPr>
          <w:sz w:val="22"/>
          <w:szCs w:val="22"/>
        </w:rPr>
        <w:t>"Государственный научный центр НИИ атомных реакторов"</w:t>
      </w:r>
      <w:r>
        <w:rPr>
          <w:sz w:val="22"/>
          <w:szCs w:val="22"/>
        </w:rPr>
        <w:t>, на котором в</w:t>
      </w:r>
      <w:r w:rsidRPr="00443937">
        <w:rPr>
          <w:sz w:val="22"/>
          <w:szCs w:val="22"/>
        </w:rPr>
        <w:t xml:space="preserve"> с</w:t>
      </w:r>
      <w:r w:rsidRPr="00443937">
        <w:rPr>
          <w:sz w:val="22"/>
          <w:szCs w:val="22"/>
        </w:rPr>
        <w:t>о</w:t>
      </w:r>
      <w:r w:rsidRPr="00443937">
        <w:rPr>
          <w:sz w:val="22"/>
          <w:szCs w:val="22"/>
        </w:rPr>
        <w:t xml:space="preserve">ответствии с </w:t>
      </w:r>
      <w:r>
        <w:rPr>
          <w:sz w:val="22"/>
          <w:szCs w:val="22"/>
        </w:rPr>
        <w:t xml:space="preserve">федеральной </w:t>
      </w:r>
      <w:r w:rsidRPr="00443937">
        <w:rPr>
          <w:sz w:val="22"/>
          <w:szCs w:val="22"/>
        </w:rPr>
        <w:t>программой</w:t>
      </w:r>
      <w:r w:rsidR="00406629">
        <w:rPr>
          <w:sz w:val="22"/>
          <w:szCs w:val="22"/>
        </w:rPr>
        <w:t xml:space="preserve"> </w:t>
      </w:r>
      <w:r w:rsidRPr="002A7C98">
        <w:rPr>
          <w:bCs/>
          <w:sz w:val="22"/>
          <w:szCs w:val="22"/>
        </w:rPr>
        <w:t xml:space="preserve">"Ядерные </w:t>
      </w:r>
      <w:proofErr w:type="spellStart"/>
      <w:r w:rsidRPr="002A7C98">
        <w:rPr>
          <w:bCs/>
          <w:sz w:val="22"/>
          <w:szCs w:val="22"/>
        </w:rPr>
        <w:t>энерготехнологии</w:t>
      </w:r>
      <w:proofErr w:type="spellEnd"/>
      <w:r w:rsidRPr="002A7C98">
        <w:rPr>
          <w:bCs/>
          <w:sz w:val="22"/>
          <w:szCs w:val="22"/>
        </w:rPr>
        <w:t xml:space="preserve"> нового поколения на период 2010-2015 годов и на перспективу до 2020 года"</w:t>
      </w:r>
      <w:r w:rsidR="00406629">
        <w:rPr>
          <w:bCs/>
          <w:sz w:val="22"/>
          <w:szCs w:val="22"/>
        </w:rPr>
        <w:t xml:space="preserve"> </w:t>
      </w:r>
      <w:r w:rsidRPr="00443937">
        <w:rPr>
          <w:sz w:val="22"/>
          <w:szCs w:val="22"/>
        </w:rPr>
        <w:t>проводи</w:t>
      </w:r>
      <w:r>
        <w:rPr>
          <w:sz w:val="22"/>
          <w:szCs w:val="22"/>
        </w:rPr>
        <w:t>тся</w:t>
      </w:r>
      <w:r w:rsidR="00406629">
        <w:rPr>
          <w:sz w:val="22"/>
          <w:szCs w:val="22"/>
        </w:rPr>
        <w:t xml:space="preserve"> </w:t>
      </w:r>
      <w:r>
        <w:rPr>
          <w:sz w:val="22"/>
          <w:szCs w:val="22"/>
        </w:rPr>
        <w:t xml:space="preserve">разработка реакторов на быстрых нейтронах с замкнутым ядерным топливным циклом. В 2011 году на эти цели </w:t>
      </w:r>
      <w:r w:rsidRPr="00C11E10">
        <w:rPr>
          <w:sz w:val="22"/>
          <w:szCs w:val="22"/>
        </w:rPr>
        <w:t>использовано 737,4</w:t>
      </w:r>
      <w:r>
        <w:rPr>
          <w:sz w:val="22"/>
          <w:szCs w:val="22"/>
        </w:rPr>
        <w:t xml:space="preserve"> млн. рублей или 100,1% годового лимита государственных капитальных вложений.</w:t>
      </w:r>
    </w:p>
    <w:p w:rsidR="0044009A" w:rsidRPr="009B2DA1" w:rsidRDefault="0044009A" w:rsidP="0044009A">
      <w:pPr>
        <w:widowControl w:val="0"/>
        <w:ind w:firstLine="720"/>
        <w:jc w:val="both"/>
        <w:rPr>
          <w:rFonts w:ascii="Arial" w:hAnsi="Arial" w:cs="Arial"/>
          <w:sz w:val="22"/>
          <w:szCs w:val="22"/>
        </w:rPr>
      </w:pPr>
      <w:r w:rsidRPr="009B2DA1">
        <w:rPr>
          <w:rFonts w:ascii="Arial" w:hAnsi="Arial" w:cs="Arial"/>
          <w:sz w:val="22"/>
          <w:szCs w:val="22"/>
        </w:rPr>
        <w:t>В Димитровграде действует драматический театр, краеведческий музей, выставочный зал,32 детских дошкольных учреждения, 1</w:t>
      </w:r>
      <w:r>
        <w:rPr>
          <w:rFonts w:ascii="Arial" w:hAnsi="Arial" w:cs="Arial"/>
          <w:sz w:val="22"/>
          <w:szCs w:val="22"/>
        </w:rPr>
        <w:t>8</w:t>
      </w:r>
      <w:r w:rsidRPr="009B2DA1">
        <w:rPr>
          <w:rFonts w:ascii="Arial" w:hAnsi="Arial" w:cs="Arial"/>
          <w:sz w:val="22"/>
          <w:szCs w:val="22"/>
        </w:rPr>
        <w:t xml:space="preserve"> дневных государственных образовательных учреждений, </w:t>
      </w:r>
      <w:r>
        <w:rPr>
          <w:rFonts w:ascii="Arial" w:hAnsi="Arial" w:cs="Arial"/>
          <w:sz w:val="22"/>
          <w:szCs w:val="22"/>
        </w:rPr>
        <w:t>5</w:t>
      </w:r>
      <w:r w:rsidRPr="009B2DA1">
        <w:rPr>
          <w:rFonts w:ascii="Arial" w:hAnsi="Arial" w:cs="Arial"/>
          <w:sz w:val="22"/>
          <w:szCs w:val="22"/>
        </w:rPr>
        <w:t xml:space="preserve"> средних профессиональных учебных заведения</w:t>
      </w:r>
      <w:r>
        <w:rPr>
          <w:rFonts w:ascii="Arial" w:hAnsi="Arial" w:cs="Arial"/>
          <w:sz w:val="22"/>
          <w:szCs w:val="22"/>
        </w:rPr>
        <w:t xml:space="preserve"> (вкл. филиалы)</w:t>
      </w:r>
      <w:r w:rsidRPr="009B2DA1">
        <w:rPr>
          <w:rFonts w:ascii="Arial" w:hAnsi="Arial" w:cs="Arial"/>
          <w:sz w:val="22"/>
          <w:szCs w:val="22"/>
        </w:rPr>
        <w:t xml:space="preserve">, </w:t>
      </w:r>
      <w:r>
        <w:rPr>
          <w:rFonts w:ascii="Arial" w:hAnsi="Arial" w:cs="Arial"/>
          <w:sz w:val="22"/>
          <w:szCs w:val="22"/>
        </w:rPr>
        <w:t xml:space="preserve">5государственных </w:t>
      </w:r>
      <w:r w:rsidRPr="009B2DA1">
        <w:rPr>
          <w:rFonts w:ascii="Arial" w:hAnsi="Arial" w:cs="Arial"/>
          <w:sz w:val="22"/>
          <w:szCs w:val="22"/>
        </w:rPr>
        <w:t>высших учебных заведений</w:t>
      </w:r>
      <w:r>
        <w:rPr>
          <w:rFonts w:ascii="Arial" w:hAnsi="Arial" w:cs="Arial"/>
          <w:sz w:val="22"/>
          <w:szCs w:val="22"/>
        </w:rPr>
        <w:t xml:space="preserve"> (вкл. филиалы)</w:t>
      </w:r>
      <w:r w:rsidRPr="009B2DA1">
        <w:rPr>
          <w:rFonts w:ascii="Arial" w:hAnsi="Arial" w:cs="Arial"/>
          <w:sz w:val="22"/>
          <w:szCs w:val="22"/>
        </w:rPr>
        <w:t xml:space="preserve">, </w:t>
      </w:r>
      <w:r>
        <w:rPr>
          <w:rFonts w:ascii="Arial" w:hAnsi="Arial" w:cs="Arial"/>
          <w:sz w:val="22"/>
          <w:szCs w:val="22"/>
        </w:rPr>
        <w:t xml:space="preserve">7 учреждений начального профессионального образования, </w:t>
      </w:r>
      <w:r w:rsidRPr="009B2DA1">
        <w:rPr>
          <w:rFonts w:ascii="Arial" w:hAnsi="Arial" w:cs="Arial"/>
          <w:sz w:val="22"/>
          <w:szCs w:val="22"/>
        </w:rPr>
        <w:t>14 массовых библиотек с числом пользователей около 3</w:t>
      </w:r>
      <w:r>
        <w:rPr>
          <w:rFonts w:ascii="Arial" w:hAnsi="Arial" w:cs="Arial"/>
          <w:sz w:val="22"/>
          <w:szCs w:val="22"/>
        </w:rPr>
        <w:t>7</w:t>
      </w:r>
      <w:r w:rsidRPr="009B2DA1">
        <w:rPr>
          <w:rFonts w:ascii="Arial" w:hAnsi="Arial" w:cs="Arial"/>
          <w:sz w:val="22"/>
          <w:szCs w:val="22"/>
        </w:rPr>
        <w:t xml:space="preserve"> тысяч.</w:t>
      </w:r>
      <w:r w:rsidR="00406629">
        <w:rPr>
          <w:rFonts w:ascii="Arial" w:hAnsi="Arial" w:cs="Arial"/>
          <w:sz w:val="22"/>
          <w:szCs w:val="22"/>
        </w:rPr>
        <w:t xml:space="preserve"> </w:t>
      </w:r>
      <w:r w:rsidRPr="009B2DA1">
        <w:rPr>
          <w:rFonts w:ascii="Arial" w:hAnsi="Arial" w:cs="Arial"/>
          <w:sz w:val="22"/>
          <w:szCs w:val="22"/>
        </w:rPr>
        <w:t xml:space="preserve">Работают 3 стадиона, 3 </w:t>
      </w:r>
      <w:proofErr w:type="gramStart"/>
      <w:r>
        <w:rPr>
          <w:rFonts w:ascii="Arial" w:hAnsi="Arial" w:cs="Arial"/>
          <w:sz w:val="22"/>
          <w:szCs w:val="22"/>
        </w:rPr>
        <w:t>крытых</w:t>
      </w:r>
      <w:proofErr w:type="gramEnd"/>
      <w:r>
        <w:rPr>
          <w:rFonts w:ascii="Arial" w:hAnsi="Arial" w:cs="Arial"/>
          <w:sz w:val="22"/>
          <w:szCs w:val="22"/>
        </w:rPr>
        <w:t xml:space="preserve"> плавательных </w:t>
      </w:r>
      <w:r w:rsidRPr="009B2DA1">
        <w:rPr>
          <w:rFonts w:ascii="Arial" w:hAnsi="Arial" w:cs="Arial"/>
          <w:sz w:val="22"/>
          <w:szCs w:val="22"/>
        </w:rPr>
        <w:t>бассей</w:t>
      </w:r>
      <w:r>
        <w:rPr>
          <w:rFonts w:ascii="Arial" w:hAnsi="Arial" w:cs="Arial"/>
          <w:sz w:val="22"/>
          <w:szCs w:val="22"/>
        </w:rPr>
        <w:t>на, 94 спортзала</w:t>
      </w:r>
      <w:r w:rsidRPr="009B2DA1">
        <w:rPr>
          <w:rFonts w:ascii="Arial" w:hAnsi="Arial" w:cs="Arial"/>
          <w:sz w:val="22"/>
          <w:szCs w:val="22"/>
        </w:rPr>
        <w:t xml:space="preserve"> (включая школь</w:t>
      </w:r>
      <w:r>
        <w:rPr>
          <w:rFonts w:ascii="Arial" w:hAnsi="Arial" w:cs="Arial"/>
          <w:sz w:val="22"/>
          <w:szCs w:val="22"/>
        </w:rPr>
        <w:t xml:space="preserve">ные). </w:t>
      </w:r>
      <w:r w:rsidRPr="009B2DA1">
        <w:rPr>
          <w:rFonts w:ascii="Arial" w:hAnsi="Arial" w:cs="Arial"/>
          <w:sz w:val="22"/>
          <w:szCs w:val="22"/>
        </w:rPr>
        <w:t>В городе 5 амбулаторно-поликлинических учреждений,</w:t>
      </w:r>
      <w:r>
        <w:rPr>
          <w:rFonts w:ascii="Arial" w:hAnsi="Arial" w:cs="Arial"/>
          <w:sz w:val="22"/>
          <w:szCs w:val="22"/>
        </w:rPr>
        <w:t xml:space="preserve">  5 больничных учреждений на 779</w:t>
      </w:r>
      <w:r w:rsidRPr="009B2DA1">
        <w:rPr>
          <w:rFonts w:ascii="Arial" w:hAnsi="Arial" w:cs="Arial"/>
          <w:sz w:val="22"/>
          <w:szCs w:val="22"/>
        </w:rPr>
        <w:t xml:space="preserve"> коек.</w:t>
      </w:r>
    </w:p>
    <w:p w:rsidR="0044009A" w:rsidRPr="002A7C98" w:rsidRDefault="0044009A" w:rsidP="0044009A">
      <w:pPr>
        <w:ind w:firstLine="720"/>
        <w:jc w:val="both"/>
        <w:rPr>
          <w:rFonts w:ascii="Arial" w:hAnsi="Arial" w:cs="Arial"/>
          <w:color w:val="FF6600"/>
          <w:sz w:val="22"/>
          <w:szCs w:val="22"/>
        </w:rPr>
      </w:pPr>
      <w:r w:rsidRPr="009B2DA1">
        <w:rPr>
          <w:rFonts w:ascii="Arial" w:hAnsi="Arial" w:cs="Arial"/>
          <w:bCs/>
          <w:sz w:val="22"/>
          <w:szCs w:val="22"/>
        </w:rPr>
        <w:t>Гор</w:t>
      </w:r>
      <w:r>
        <w:rPr>
          <w:rFonts w:ascii="Arial" w:hAnsi="Arial" w:cs="Arial"/>
          <w:bCs/>
          <w:sz w:val="22"/>
          <w:szCs w:val="22"/>
        </w:rPr>
        <w:t>од растет и развивается. За 2011</w:t>
      </w:r>
      <w:r w:rsidRPr="009B2DA1">
        <w:rPr>
          <w:rFonts w:ascii="Arial" w:hAnsi="Arial" w:cs="Arial"/>
          <w:bCs/>
          <w:sz w:val="22"/>
          <w:szCs w:val="22"/>
        </w:rPr>
        <w:t xml:space="preserve"> год в городе за счет всех источников финансирования построено </w:t>
      </w:r>
      <w:r>
        <w:rPr>
          <w:rFonts w:ascii="Arial" w:hAnsi="Arial" w:cs="Arial"/>
          <w:bCs/>
          <w:sz w:val="22"/>
          <w:szCs w:val="22"/>
        </w:rPr>
        <w:t>53,2</w:t>
      </w:r>
      <w:r w:rsidRPr="009B2DA1">
        <w:rPr>
          <w:rFonts w:ascii="Arial" w:hAnsi="Arial" w:cs="Arial"/>
          <w:bCs/>
          <w:sz w:val="22"/>
          <w:szCs w:val="22"/>
        </w:rPr>
        <w:t xml:space="preserve"> тыс. кв. метров общей площади жилья, из них 3</w:t>
      </w:r>
      <w:r>
        <w:rPr>
          <w:rFonts w:ascii="Arial" w:hAnsi="Arial" w:cs="Arial"/>
          <w:bCs/>
          <w:sz w:val="22"/>
          <w:szCs w:val="22"/>
        </w:rPr>
        <w:t>1</w:t>
      </w:r>
      <w:r w:rsidRPr="009B2DA1">
        <w:rPr>
          <w:rFonts w:ascii="Arial" w:hAnsi="Arial" w:cs="Arial"/>
          <w:bCs/>
          <w:sz w:val="22"/>
          <w:szCs w:val="22"/>
        </w:rPr>
        <w:t>,8 тыс. кв</w:t>
      </w:r>
      <w:proofErr w:type="gramStart"/>
      <w:r w:rsidRPr="009B2DA1">
        <w:rPr>
          <w:rFonts w:ascii="Arial" w:hAnsi="Arial" w:cs="Arial"/>
          <w:bCs/>
          <w:sz w:val="22"/>
          <w:szCs w:val="22"/>
        </w:rPr>
        <w:t>.м</w:t>
      </w:r>
      <w:proofErr w:type="gramEnd"/>
      <w:r w:rsidRPr="009B2DA1">
        <w:rPr>
          <w:rFonts w:ascii="Arial" w:hAnsi="Arial" w:cs="Arial"/>
          <w:bCs/>
          <w:sz w:val="22"/>
          <w:szCs w:val="22"/>
        </w:rPr>
        <w:t>етров (</w:t>
      </w:r>
      <w:r>
        <w:rPr>
          <w:rFonts w:ascii="Arial" w:hAnsi="Arial" w:cs="Arial"/>
          <w:bCs/>
          <w:sz w:val="22"/>
          <w:szCs w:val="22"/>
        </w:rPr>
        <w:t>59,8</w:t>
      </w:r>
      <w:r w:rsidRPr="009B2DA1">
        <w:rPr>
          <w:rFonts w:ascii="Arial" w:hAnsi="Arial" w:cs="Arial"/>
          <w:bCs/>
          <w:sz w:val="22"/>
          <w:szCs w:val="22"/>
        </w:rPr>
        <w:t>%) построено населением за счет собственных и заемных средств</w:t>
      </w:r>
      <w:r>
        <w:rPr>
          <w:rFonts w:ascii="Arial" w:hAnsi="Arial" w:cs="Arial"/>
          <w:bCs/>
          <w:sz w:val="22"/>
          <w:szCs w:val="22"/>
        </w:rPr>
        <w:t>. В 1,6 раза к пред</w:t>
      </w:r>
      <w:r>
        <w:rPr>
          <w:rFonts w:ascii="Arial" w:hAnsi="Arial" w:cs="Arial"/>
          <w:bCs/>
          <w:sz w:val="22"/>
          <w:szCs w:val="22"/>
        </w:rPr>
        <w:t>ы</w:t>
      </w:r>
      <w:r>
        <w:rPr>
          <w:rFonts w:ascii="Arial" w:hAnsi="Arial" w:cs="Arial"/>
          <w:bCs/>
          <w:sz w:val="22"/>
          <w:szCs w:val="22"/>
        </w:rPr>
        <w:t xml:space="preserve">дущему году выросли инвестиции в основной капитал крупных и средних предприятий  города и составили  в 2011 году свыше 3,2 млрд. рублей. </w:t>
      </w:r>
      <w:r w:rsidRPr="009353BC">
        <w:rPr>
          <w:rFonts w:ascii="Arial" w:hAnsi="Arial" w:cs="Arial"/>
          <w:bCs/>
          <w:sz w:val="22"/>
          <w:szCs w:val="22"/>
        </w:rPr>
        <w:t xml:space="preserve">Ведется </w:t>
      </w:r>
      <w:r w:rsidRPr="009353BC">
        <w:rPr>
          <w:rFonts w:ascii="Arial" w:hAnsi="Arial" w:cs="Arial"/>
          <w:sz w:val="22"/>
          <w:szCs w:val="22"/>
        </w:rPr>
        <w:t>строительство 1 очереди хирургического комплекса МСЧ № 65 на 200 коек, в 2011 году использовано 473,3 млн. рублей или около 90% годового лимита государственных капитальных вложений</w:t>
      </w:r>
      <w:r>
        <w:rPr>
          <w:rFonts w:ascii="Arial" w:hAnsi="Arial" w:cs="Arial"/>
          <w:sz w:val="22"/>
          <w:szCs w:val="22"/>
        </w:rPr>
        <w:t>.</w:t>
      </w:r>
      <w:r w:rsidR="00406629">
        <w:rPr>
          <w:rFonts w:ascii="Arial" w:hAnsi="Arial" w:cs="Arial"/>
          <w:sz w:val="22"/>
          <w:szCs w:val="22"/>
        </w:rPr>
        <w:t xml:space="preserve"> </w:t>
      </w:r>
      <w:r w:rsidRPr="009353BC">
        <w:rPr>
          <w:rFonts w:ascii="Arial" w:hAnsi="Arial" w:cs="Arial"/>
          <w:sz w:val="22"/>
          <w:szCs w:val="22"/>
        </w:rPr>
        <w:t>Начато</w:t>
      </w:r>
      <w:r w:rsidRPr="009353BC">
        <w:rPr>
          <w:rFonts w:ascii="Arial" w:hAnsi="Arial" w:cs="Arial"/>
          <w:bCs/>
          <w:sz w:val="22"/>
          <w:szCs w:val="22"/>
        </w:rPr>
        <w:t xml:space="preserve"> строительство крупнейшего </w:t>
      </w:r>
      <w:r w:rsidRPr="002A7C98">
        <w:rPr>
          <w:rFonts w:ascii="Arial" w:hAnsi="Arial" w:cs="Arial"/>
          <w:bCs/>
          <w:sz w:val="22"/>
          <w:szCs w:val="22"/>
        </w:rPr>
        <w:t>федерального высокоте</w:t>
      </w:r>
      <w:r w:rsidRPr="002A7C98">
        <w:rPr>
          <w:rFonts w:ascii="Arial" w:hAnsi="Arial" w:cs="Arial"/>
          <w:bCs/>
          <w:sz w:val="22"/>
          <w:szCs w:val="22"/>
        </w:rPr>
        <w:t>х</w:t>
      </w:r>
      <w:r w:rsidRPr="002A7C98">
        <w:rPr>
          <w:rFonts w:ascii="Arial" w:hAnsi="Arial" w:cs="Arial"/>
          <w:bCs/>
          <w:sz w:val="22"/>
          <w:szCs w:val="22"/>
        </w:rPr>
        <w:t>нологического центра медицинской радиологии</w:t>
      </w:r>
      <w:r w:rsidRPr="002A7C98">
        <w:rPr>
          <w:rFonts w:ascii="Arial" w:hAnsi="Arial" w:cs="Arial"/>
          <w:color w:val="FF6600"/>
          <w:sz w:val="22"/>
          <w:szCs w:val="22"/>
        </w:rPr>
        <w:t>.</w:t>
      </w:r>
    </w:p>
    <w:p w:rsidR="00D7313E" w:rsidRDefault="00D7313E">
      <w:pPr>
        <w:rPr>
          <w:rFonts w:ascii="Arial" w:hAnsi="Arial"/>
          <w:b/>
          <w:i/>
          <w:caps/>
          <w:color w:val="548DD4" w:themeColor="text2" w:themeTint="99"/>
          <w:kern w:val="28"/>
          <w:sz w:val="24"/>
        </w:rPr>
      </w:pPr>
      <w:bookmarkStart w:id="10" w:name="_Toc309826884"/>
      <w:r>
        <w:rPr>
          <w:color w:val="548DD4" w:themeColor="text2" w:themeTint="99"/>
        </w:rPr>
        <w:br w:type="page"/>
      </w:r>
    </w:p>
    <w:p w:rsidR="00A97E1C" w:rsidRPr="00ED01A7" w:rsidRDefault="0002306A">
      <w:pPr>
        <w:pStyle w:val="1"/>
        <w:rPr>
          <w:color w:val="548DD4" w:themeColor="text2" w:themeTint="99"/>
        </w:rPr>
      </w:pPr>
      <w:r w:rsidRPr="00ED01A7">
        <w:rPr>
          <w:color w:val="548DD4" w:themeColor="text2" w:themeTint="99"/>
        </w:rPr>
        <w:lastRenderedPageBreak/>
        <w:t>НАСЕЛЕНИЕ</w:t>
      </w:r>
      <w:bookmarkEnd w:id="10"/>
    </w:p>
    <w:p w:rsidR="00A97E1C" w:rsidRDefault="00A97E1C">
      <w:pPr>
        <w:rPr>
          <w:rFonts w:ascii="Arial" w:hAnsi="Arial" w:cs="Arial"/>
          <w:sz w:val="22"/>
        </w:rPr>
      </w:pPr>
    </w:p>
    <w:p w:rsidR="00D7313E" w:rsidRDefault="00CF6A53" w:rsidP="00D7313E">
      <w:pPr>
        <w:jc w:val="both"/>
        <w:rPr>
          <w:rFonts w:ascii="Arial" w:hAnsi="Arial" w:cs="Arial"/>
          <w:sz w:val="22"/>
        </w:rPr>
      </w:pPr>
      <w:r>
        <w:rPr>
          <w:rFonts w:ascii="Arial" w:hAnsi="Arial" w:cs="Arial"/>
          <w:noProof/>
          <w:sz w:val="22"/>
        </w:rPr>
        <w:drawing>
          <wp:anchor distT="0" distB="0" distL="114300" distR="114300" simplePos="0" relativeHeight="251704320" behindDoc="0" locked="0" layoutInCell="1" allowOverlap="1">
            <wp:simplePos x="0" y="0"/>
            <wp:positionH relativeFrom="column">
              <wp:posOffset>116205</wp:posOffset>
            </wp:positionH>
            <wp:positionV relativeFrom="paragraph">
              <wp:posOffset>144145</wp:posOffset>
            </wp:positionV>
            <wp:extent cx="2159635" cy="1658620"/>
            <wp:effectExtent l="19050" t="0" r="0" b="0"/>
            <wp:wrapSquare wrapText="bothSides"/>
            <wp:docPr id="39" name="Рисунок 38" descr="насе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еление.jpg"/>
                    <pic:cNvPicPr/>
                  </pic:nvPicPr>
                  <pic:blipFill>
                    <a:blip r:embed="rId27"/>
                    <a:stretch>
                      <a:fillRect/>
                    </a:stretch>
                  </pic:blipFill>
                  <pic:spPr>
                    <a:xfrm>
                      <a:off x="0" y="0"/>
                      <a:ext cx="2159635" cy="1658620"/>
                    </a:xfrm>
                    <a:prstGeom prst="rect">
                      <a:avLst/>
                    </a:prstGeom>
                  </pic:spPr>
                </pic:pic>
              </a:graphicData>
            </a:graphic>
          </wp:anchor>
        </w:drawing>
      </w:r>
      <w:bookmarkStart w:id="11" w:name="_Toc479390120"/>
      <w:bookmarkStart w:id="12" w:name="_Toc479581482"/>
      <w:bookmarkStart w:id="13" w:name="_Toc479993633"/>
    </w:p>
    <w:p w:rsidR="00D7313E" w:rsidRDefault="00D7313E" w:rsidP="00D7313E">
      <w:pPr>
        <w:jc w:val="both"/>
        <w:rPr>
          <w:rFonts w:ascii="Arial" w:hAnsi="Arial" w:cs="Arial"/>
          <w:sz w:val="22"/>
        </w:rPr>
      </w:pPr>
      <w:r>
        <w:rPr>
          <w:rFonts w:ascii="Arial" w:hAnsi="Arial" w:cs="Arial"/>
          <w:sz w:val="22"/>
        </w:rPr>
        <w:t xml:space="preserve">Общая численность населения  Ульяновской  области за 1950 – 2011 гг. увеличилась на  161,7 тыс. человек или на 14,4%. Городское население за этот период увеличилось в 3,1 раза, сельское уменьшилось в 2,4 раза. Существенное влияние на сложившуюся ситуацию оказывала миграция сельского населения в города области, а также рост городских жителей за счет преобразования сельских населенных пунктов </w:t>
      </w:r>
      <w:proofErr w:type="gramStart"/>
      <w:r>
        <w:rPr>
          <w:rFonts w:ascii="Arial" w:hAnsi="Arial" w:cs="Arial"/>
          <w:sz w:val="22"/>
        </w:rPr>
        <w:t>в</w:t>
      </w:r>
      <w:proofErr w:type="gramEnd"/>
      <w:r>
        <w:rPr>
          <w:rFonts w:ascii="Arial" w:hAnsi="Arial" w:cs="Arial"/>
          <w:sz w:val="22"/>
        </w:rPr>
        <w:t xml:space="preserve"> городские.</w:t>
      </w:r>
      <w:r w:rsidR="00406629">
        <w:rPr>
          <w:rFonts w:ascii="Arial" w:hAnsi="Arial" w:cs="Arial"/>
          <w:sz w:val="22"/>
        </w:rPr>
        <w:t xml:space="preserve"> </w:t>
      </w:r>
      <w:r>
        <w:rPr>
          <w:rFonts w:ascii="Arial" w:hAnsi="Arial" w:cs="Arial"/>
          <w:bCs/>
          <w:sz w:val="22"/>
        </w:rPr>
        <w:t xml:space="preserve">В 2002 – 2009гг. отнесение в законодательном порядке  </w:t>
      </w:r>
      <w:r w:rsidR="00F22DFF">
        <w:rPr>
          <w:rFonts w:ascii="Arial" w:hAnsi="Arial" w:cs="Arial"/>
          <w:bCs/>
          <w:sz w:val="22"/>
        </w:rPr>
        <w:br/>
      </w:r>
      <w:r>
        <w:rPr>
          <w:rFonts w:ascii="Arial" w:hAnsi="Arial" w:cs="Arial"/>
          <w:bCs/>
          <w:sz w:val="22"/>
        </w:rPr>
        <w:t xml:space="preserve"> 4-х поселков  городского типа ( Никольское-на-Черемшане </w:t>
      </w:r>
      <w:proofErr w:type="spellStart"/>
      <w:r>
        <w:rPr>
          <w:rFonts w:ascii="Arial" w:hAnsi="Arial" w:cs="Arial"/>
          <w:bCs/>
          <w:sz w:val="22"/>
        </w:rPr>
        <w:t>Мелекесского</w:t>
      </w:r>
      <w:proofErr w:type="spellEnd"/>
      <w:r>
        <w:rPr>
          <w:rFonts w:ascii="Arial" w:hAnsi="Arial" w:cs="Arial"/>
          <w:bCs/>
          <w:sz w:val="22"/>
        </w:rPr>
        <w:t xml:space="preserve">,  </w:t>
      </w:r>
      <w:proofErr w:type="spellStart"/>
      <w:r>
        <w:rPr>
          <w:rFonts w:ascii="Arial" w:hAnsi="Arial" w:cs="Arial"/>
          <w:bCs/>
          <w:sz w:val="22"/>
        </w:rPr>
        <w:t>Канадей</w:t>
      </w:r>
      <w:proofErr w:type="spellEnd"/>
      <w:r>
        <w:rPr>
          <w:rFonts w:ascii="Arial" w:hAnsi="Arial" w:cs="Arial"/>
          <w:bCs/>
          <w:sz w:val="22"/>
        </w:rPr>
        <w:t xml:space="preserve"> Николаевского, </w:t>
      </w:r>
      <w:proofErr w:type="spellStart"/>
      <w:r>
        <w:rPr>
          <w:rFonts w:ascii="Arial" w:hAnsi="Arial" w:cs="Arial"/>
          <w:bCs/>
          <w:sz w:val="22"/>
        </w:rPr>
        <w:t>Новочеремшанск</w:t>
      </w:r>
      <w:proofErr w:type="spellEnd"/>
      <w:r w:rsidR="00406629">
        <w:rPr>
          <w:rFonts w:ascii="Arial" w:hAnsi="Arial" w:cs="Arial"/>
          <w:bCs/>
          <w:sz w:val="22"/>
        </w:rPr>
        <w:t xml:space="preserve"> </w:t>
      </w:r>
      <w:proofErr w:type="spellStart"/>
      <w:r>
        <w:rPr>
          <w:rFonts w:ascii="Arial" w:hAnsi="Arial" w:cs="Arial"/>
          <w:bCs/>
          <w:sz w:val="22"/>
        </w:rPr>
        <w:t>Новомалыклинского</w:t>
      </w:r>
      <w:proofErr w:type="spellEnd"/>
      <w:r>
        <w:rPr>
          <w:rFonts w:ascii="Arial" w:hAnsi="Arial" w:cs="Arial"/>
          <w:bCs/>
          <w:sz w:val="22"/>
        </w:rPr>
        <w:t xml:space="preserve"> и Октябрьский </w:t>
      </w:r>
      <w:proofErr w:type="spellStart"/>
      <w:r>
        <w:rPr>
          <w:rFonts w:ascii="Arial" w:hAnsi="Arial" w:cs="Arial"/>
          <w:bCs/>
          <w:sz w:val="22"/>
        </w:rPr>
        <w:t>Чердаклинского</w:t>
      </w:r>
      <w:proofErr w:type="spellEnd"/>
      <w:r>
        <w:rPr>
          <w:rFonts w:ascii="Arial" w:hAnsi="Arial" w:cs="Arial"/>
          <w:bCs/>
          <w:sz w:val="22"/>
        </w:rPr>
        <w:t xml:space="preserve">  районов) к категории сельских населенных пунктов, а также образование новых сельских населенных пунктов за счет разукрупн</w:t>
      </w:r>
      <w:r>
        <w:rPr>
          <w:rFonts w:ascii="Arial" w:hAnsi="Arial" w:cs="Arial"/>
          <w:bCs/>
          <w:sz w:val="22"/>
        </w:rPr>
        <w:t>е</w:t>
      </w:r>
      <w:r>
        <w:rPr>
          <w:rFonts w:ascii="Arial" w:hAnsi="Arial" w:cs="Arial"/>
          <w:bCs/>
          <w:sz w:val="22"/>
        </w:rPr>
        <w:t>ния городских (</w:t>
      </w:r>
      <w:proofErr w:type="spellStart"/>
      <w:r>
        <w:rPr>
          <w:rFonts w:ascii="Arial" w:hAnsi="Arial" w:cs="Arial"/>
          <w:bCs/>
          <w:sz w:val="22"/>
        </w:rPr>
        <w:t>пгт</w:t>
      </w:r>
      <w:proofErr w:type="gramStart"/>
      <w:r>
        <w:rPr>
          <w:rFonts w:ascii="Arial" w:hAnsi="Arial" w:cs="Arial"/>
          <w:bCs/>
          <w:sz w:val="22"/>
        </w:rPr>
        <w:t>.К</w:t>
      </w:r>
      <w:proofErr w:type="gramEnd"/>
      <w:r>
        <w:rPr>
          <w:rFonts w:ascii="Arial" w:hAnsi="Arial" w:cs="Arial"/>
          <w:bCs/>
          <w:sz w:val="22"/>
        </w:rPr>
        <w:t>расный</w:t>
      </w:r>
      <w:proofErr w:type="spellEnd"/>
      <w:r>
        <w:rPr>
          <w:rFonts w:ascii="Arial" w:hAnsi="Arial" w:cs="Arial"/>
          <w:bCs/>
          <w:sz w:val="22"/>
        </w:rPr>
        <w:t xml:space="preserve"> Гуляй и Силикатный </w:t>
      </w:r>
      <w:proofErr w:type="spellStart"/>
      <w:r>
        <w:rPr>
          <w:rFonts w:ascii="Arial" w:hAnsi="Arial" w:cs="Arial"/>
          <w:bCs/>
          <w:sz w:val="22"/>
        </w:rPr>
        <w:t>Сенгилеевского</w:t>
      </w:r>
      <w:proofErr w:type="spellEnd"/>
      <w:r>
        <w:rPr>
          <w:rFonts w:ascii="Arial" w:hAnsi="Arial" w:cs="Arial"/>
          <w:bCs/>
          <w:sz w:val="22"/>
        </w:rPr>
        <w:t xml:space="preserve"> района, Заволжского района </w:t>
      </w:r>
      <w:r w:rsidR="00F22DFF">
        <w:rPr>
          <w:rFonts w:ascii="Arial" w:hAnsi="Arial" w:cs="Arial"/>
          <w:bCs/>
          <w:sz w:val="22"/>
        </w:rPr>
        <w:br/>
      </w:r>
      <w:r>
        <w:rPr>
          <w:rFonts w:ascii="Arial" w:hAnsi="Arial" w:cs="Arial"/>
          <w:bCs/>
          <w:sz w:val="22"/>
        </w:rPr>
        <w:t>г. Ульяновска)  привело к снижению  темпов  сокращения сельского населения</w:t>
      </w:r>
    </w:p>
    <w:p w:rsidR="00D7313E" w:rsidRPr="00293775" w:rsidRDefault="00D7313E" w:rsidP="00D7313E">
      <w:pPr>
        <w:ind w:firstLine="720"/>
        <w:jc w:val="both"/>
        <w:rPr>
          <w:rFonts w:ascii="Arial" w:hAnsi="Arial" w:cs="Arial"/>
          <w:sz w:val="22"/>
        </w:rPr>
      </w:pPr>
      <w:r>
        <w:rPr>
          <w:rFonts w:ascii="Arial" w:hAnsi="Arial" w:cs="Arial"/>
          <w:sz w:val="22"/>
        </w:rPr>
        <w:t>До 1984 г. года увеличение численности населения Ульяновской области происходило за счет естественного прироста (превышения числа родившихся над числом умерших).  Начиная с середины 80-х годов, рост населения области происходил, в основном, за счет  миграционного прироста,  который до 1992г. превышал естественный.  В 1992-1994 гг.  миграция была единственным источником возмещения численных  потерь населения области в результате естественной убыли. В 1995 г. миграционный прирост  не сумел компенсировать  естественную убыль,  в результате чего  население Ульяновской области начало сокращаться.</w:t>
      </w:r>
    </w:p>
    <w:p w:rsidR="00D7313E" w:rsidRDefault="00D7313E" w:rsidP="00D7313E">
      <w:pPr>
        <w:ind w:firstLine="720"/>
        <w:jc w:val="both"/>
        <w:rPr>
          <w:rFonts w:ascii="Arial" w:hAnsi="Arial" w:cs="Arial"/>
          <w:sz w:val="22"/>
        </w:rPr>
      </w:pPr>
      <w:r>
        <w:rPr>
          <w:rFonts w:ascii="Arial" w:hAnsi="Arial" w:cs="Arial"/>
          <w:sz w:val="22"/>
        </w:rPr>
        <w:t>Начиная с 1996 г. и по настоящее время  на снижение численности населения оказывают влияние как естественная, так  и мигр</w:t>
      </w:r>
      <w:r>
        <w:rPr>
          <w:rFonts w:ascii="Arial" w:hAnsi="Arial" w:cs="Arial"/>
          <w:sz w:val="22"/>
        </w:rPr>
        <w:t>а</w:t>
      </w:r>
      <w:r>
        <w:rPr>
          <w:rFonts w:ascii="Arial" w:hAnsi="Arial" w:cs="Arial"/>
          <w:sz w:val="22"/>
        </w:rPr>
        <w:t>ционная убыль.</w:t>
      </w:r>
    </w:p>
    <w:p w:rsidR="00D7313E" w:rsidRPr="004314E2" w:rsidRDefault="00D7313E" w:rsidP="00D7313E">
      <w:pPr>
        <w:ind w:firstLine="720"/>
        <w:jc w:val="both"/>
        <w:rPr>
          <w:rFonts w:ascii="Arial" w:hAnsi="Arial" w:cs="Arial"/>
          <w:sz w:val="22"/>
        </w:rPr>
      </w:pPr>
      <w:r>
        <w:rPr>
          <w:rFonts w:ascii="Arial" w:hAnsi="Arial" w:cs="Arial"/>
          <w:sz w:val="22"/>
        </w:rPr>
        <w:t xml:space="preserve">За последний </w:t>
      </w:r>
      <w:proofErr w:type="spellStart"/>
      <w:r>
        <w:rPr>
          <w:rFonts w:ascii="Arial" w:hAnsi="Arial" w:cs="Arial"/>
          <w:sz w:val="22"/>
        </w:rPr>
        <w:t>межпереписной</w:t>
      </w:r>
      <w:proofErr w:type="spellEnd"/>
      <w:r>
        <w:rPr>
          <w:rFonts w:ascii="Arial" w:hAnsi="Arial" w:cs="Arial"/>
          <w:sz w:val="22"/>
        </w:rPr>
        <w:t xml:space="preserve"> период (2002-2010гг.)  число жителей Ульяновской области уменьшилось на 90,0 тыс. человек или на 6,5%. Среднегодовые темпы снижения численности составили 0,8%  (за </w:t>
      </w:r>
      <w:proofErr w:type="spellStart"/>
      <w:r>
        <w:rPr>
          <w:rFonts w:ascii="Arial" w:hAnsi="Arial" w:cs="Arial"/>
          <w:sz w:val="22"/>
        </w:rPr>
        <w:t>межпереписной</w:t>
      </w:r>
      <w:proofErr w:type="spellEnd"/>
      <w:r>
        <w:rPr>
          <w:rFonts w:ascii="Arial" w:hAnsi="Arial" w:cs="Arial"/>
          <w:sz w:val="22"/>
        </w:rPr>
        <w:t xml:space="preserve"> период с 1989 по 2002 год этот показатель составил 0,1% процента).</w:t>
      </w:r>
    </w:p>
    <w:p w:rsidR="00D7313E" w:rsidRDefault="00D7313E" w:rsidP="00D7313E">
      <w:pPr>
        <w:pStyle w:val="aa"/>
        <w:spacing w:line="240" w:lineRule="auto"/>
        <w:rPr>
          <w:rFonts w:cs="Arial"/>
          <w:bCs/>
          <w:sz w:val="22"/>
        </w:rPr>
      </w:pPr>
      <w:r>
        <w:rPr>
          <w:rFonts w:cs="Arial"/>
          <w:bCs/>
          <w:sz w:val="22"/>
        </w:rPr>
        <w:t>На 1 января 2012г. численность населения Ульяновской области (с учетом  окончательных  итогов Всероссийской переписи нас</w:t>
      </w:r>
      <w:r>
        <w:rPr>
          <w:rFonts w:cs="Arial"/>
          <w:bCs/>
          <w:sz w:val="22"/>
        </w:rPr>
        <w:t>е</w:t>
      </w:r>
      <w:r>
        <w:rPr>
          <w:rFonts w:cs="Arial"/>
          <w:bCs/>
          <w:sz w:val="22"/>
        </w:rPr>
        <w:t>ления 2010 года) составила 1282,1 тыс. человек,  из них около 60 процентов  проживают в 2-х крупных городах области – Ульяновске и Димитровграде.</w:t>
      </w:r>
    </w:p>
    <w:p w:rsidR="00D7313E" w:rsidRDefault="00D7313E" w:rsidP="00D7313E">
      <w:pPr>
        <w:pStyle w:val="33"/>
        <w:spacing w:after="60"/>
        <w:rPr>
          <w:rFonts w:ascii="Arial" w:hAnsi="Arial" w:cs="Arial"/>
          <w:bCs/>
          <w:sz w:val="22"/>
        </w:rPr>
      </w:pPr>
    </w:p>
    <w:p w:rsidR="00D7313E" w:rsidRDefault="00D7313E" w:rsidP="00D7313E">
      <w:pPr>
        <w:pStyle w:val="4"/>
        <w:rPr>
          <w:rFonts w:cs="Arial"/>
          <w:bCs/>
          <w:sz w:val="22"/>
        </w:rPr>
      </w:pPr>
    </w:p>
    <w:p w:rsidR="00D7313E" w:rsidRDefault="00D7313E" w:rsidP="00D7313E">
      <w:pPr>
        <w:pStyle w:val="4"/>
        <w:rPr>
          <w:rFonts w:cs="Arial"/>
          <w:bCs/>
          <w:sz w:val="22"/>
        </w:rPr>
      </w:pPr>
    </w:p>
    <w:p w:rsidR="00D7313E" w:rsidRPr="00ED01A7" w:rsidRDefault="00D7313E" w:rsidP="00D7313E">
      <w:pPr>
        <w:pStyle w:val="35"/>
        <w:spacing w:before="120" w:after="120"/>
      </w:pPr>
      <w:r>
        <w:br w:type="page"/>
      </w:r>
      <w:r w:rsidRPr="00ED01A7">
        <w:lastRenderedPageBreak/>
        <w:t>ОБЩИЕ ПОКАЗАТЕЛИ ВОСПРОИЗВОДСТВА НАСЕЛЕНИЯ</w:t>
      </w:r>
    </w:p>
    <w:tbl>
      <w:tblPr>
        <w:tblStyle w:val="-11"/>
        <w:tblW w:w="5000" w:type="pct"/>
        <w:tblLook w:val="0000" w:firstRow="0" w:lastRow="0" w:firstColumn="0" w:lastColumn="0" w:noHBand="0" w:noVBand="0"/>
      </w:tblPr>
      <w:tblGrid>
        <w:gridCol w:w="1782"/>
        <w:gridCol w:w="2121"/>
        <w:gridCol w:w="2121"/>
        <w:gridCol w:w="2120"/>
        <w:gridCol w:w="2120"/>
        <w:gridCol w:w="2120"/>
        <w:gridCol w:w="2120"/>
      </w:tblGrid>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vMerge w:val="restart"/>
            <w:shd w:val="clear" w:color="auto" w:fill="C6D9F1" w:themeFill="text2" w:themeFillTint="33"/>
          </w:tcPr>
          <w:p w:rsidR="00D7313E" w:rsidRPr="0053759F" w:rsidRDefault="00D7313E" w:rsidP="00023055">
            <w:pPr>
              <w:spacing w:before="40" w:after="40"/>
              <w:jc w:val="center"/>
              <w:rPr>
                <w:rFonts w:ascii="Arial" w:hAnsi="Arial" w:cs="Arial"/>
                <w:sz w:val="18"/>
                <w:szCs w:val="18"/>
              </w:rPr>
            </w:pPr>
          </w:p>
        </w:tc>
        <w:tc>
          <w:tcPr>
            <w:tcW w:w="2193" w:type="pct"/>
            <w:gridSpan w:val="3"/>
            <w:shd w:val="clear" w:color="auto" w:fill="C6D9F1" w:themeFill="text2" w:themeFillTint="33"/>
          </w:tcPr>
          <w:p w:rsidR="00D7313E" w:rsidRPr="0053759F" w:rsidRDefault="00D7313E" w:rsidP="00023055">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Всего,    человек</w:t>
            </w:r>
          </w:p>
        </w:tc>
        <w:tc>
          <w:tcPr>
            <w:cnfStyle w:val="000010000000" w:firstRow="0" w:lastRow="0" w:firstColumn="0" w:lastColumn="0" w:oddVBand="1" w:evenVBand="0" w:oddHBand="0" w:evenHBand="0" w:firstRowFirstColumn="0" w:firstRowLastColumn="0" w:lastRowFirstColumn="0" w:lastRowLastColumn="0"/>
            <w:tcW w:w="2193" w:type="pct"/>
            <w:gridSpan w:val="3"/>
            <w:shd w:val="clear" w:color="auto" w:fill="C6D9F1" w:themeFill="text2" w:themeFillTint="33"/>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На 1000 населения</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614" w:type="pct"/>
            <w:vMerge/>
            <w:shd w:val="clear" w:color="auto" w:fill="C6D9F1" w:themeFill="text2" w:themeFillTint="33"/>
          </w:tcPr>
          <w:p w:rsidR="00D7313E" w:rsidRPr="0053759F" w:rsidRDefault="00D7313E" w:rsidP="00023055">
            <w:pPr>
              <w:spacing w:before="40" w:after="40"/>
              <w:jc w:val="center"/>
              <w:rPr>
                <w:rFonts w:ascii="Arial" w:hAnsi="Arial" w:cs="Arial"/>
                <w:sz w:val="18"/>
                <w:szCs w:val="18"/>
              </w:rPr>
            </w:pPr>
          </w:p>
        </w:tc>
        <w:tc>
          <w:tcPr>
            <w:tcW w:w="731" w:type="pct"/>
            <w:shd w:val="clear" w:color="auto" w:fill="C6D9F1" w:themeFill="text2" w:themeFillTint="33"/>
          </w:tcPr>
          <w:p w:rsidR="00D7313E" w:rsidRPr="0053759F" w:rsidRDefault="00D7313E" w:rsidP="00023055">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родившихся</w:t>
            </w:r>
          </w:p>
        </w:tc>
        <w:tc>
          <w:tcPr>
            <w:cnfStyle w:val="000010000000" w:firstRow="0" w:lastRow="0" w:firstColumn="0" w:lastColumn="0" w:oddVBand="1" w:evenVBand="0" w:oddHBand="0" w:evenHBand="0" w:firstRowFirstColumn="0" w:firstRowLastColumn="0" w:lastRowFirstColumn="0" w:lastRowLastColumn="0"/>
            <w:tcW w:w="731" w:type="pct"/>
            <w:shd w:val="clear" w:color="auto" w:fill="C6D9F1" w:themeFill="text2" w:themeFillTint="33"/>
          </w:tcPr>
          <w:p w:rsidR="00D7313E" w:rsidRPr="0053759F" w:rsidRDefault="00D7313E" w:rsidP="00023055">
            <w:pPr>
              <w:spacing w:before="40" w:after="40"/>
              <w:jc w:val="center"/>
              <w:rPr>
                <w:rFonts w:ascii="Arial" w:hAnsi="Arial" w:cs="Arial"/>
                <w:sz w:val="18"/>
                <w:szCs w:val="18"/>
              </w:rPr>
            </w:pPr>
            <w:proofErr w:type="gramStart"/>
            <w:r w:rsidRPr="0053759F">
              <w:rPr>
                <w:rFonts w:ascii="Arial" w:hAnsi="Arial" w:cs="Arial"/>
                <w:sz w:val="18"/>
                <w:szCs w:val="18"/>
              </w:rPr>
              <w:t>умерших</w:t>
            </w:r>
            <w:proofErr w:type="gramEnd"/>
          </w:p>
        </w:tc>
        <w:tc>
          <w:tcPr>
            <w:tcW w:w="731" w:type="pct"/>
            <w:shd w:val="clear" w:color="auto" w:fill="C6D9F1" w:themeFill="text2" w:themeFillTint="33"/>
          </w:tcPr>
          <w:p w:rsidR="00D7313E" w:rsidRPr="0053759F" w:rsidRDefault="00D7313E" w:rsidP="00023055">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естественный прирост</w:t>
            </w:r>
          </w:p>
        </w:tc>
        <w:tc>
          <w:tcPr>
            <w:cnfStyle w:val="000010000000" w:firstRow="0" w:lastRow="0" w:firstColumn="0" w:lastColumn="0" w:oddVBand="1" w:evenVBand="0" w:oddHBand="0" w:evenHBand="0" w:firstRowFirstColumn="0" w:firstRowLastColumn="0" w:lastRowFirstColumn="0" w:lastRowLastColumn="0"/>
            <w:tcW w:w="731" w:type="pct"/>
            <w:shd w:val="clear" w:color="auto" w:fill="C6D9F1" w:themeFill="text2" w:themeFillTint="33"/>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родившихся</w:t>
            </w:r>
          </w:p>
        </w:tc>
        <w:tc>
          <w:tcPr>
            <w:tcW w:w="731" w:type="pct"/>
            <w:shd w:val="clear" w:color="auto" w:fill="C6D9F1" w:themeFill="text2" w:themeFillTint="33"/>
          </w:tcPr>
          <w:p w:rsidR="00D7313E" w:rsidRPr="0053759F" w:rsidRDefault="00D7313E" w:rsidP="00023055">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gramStart"/>
            <w:r w:rsidRPr="0053759F">
              <w:rPr>
                <w:rFonts w:ascii="Arial" w:hAnsi="Arial" w:cs="Arial"/>
                <w:sz w:val="18"/>
                <w:szCs w:val="18"/>
              </w:rPr>
              <w:t>умерших</w:t>
            </w:r>
            <w:proofErr w:type="gramEnd"/>
          </w:p>
        </w:tc>
        <w:tc>
          <w:tcPr>
            <w:cnfStyle w:val="000010000000" w:firstRow="0" w:lastRow="0" w:firstColumn="0" w:lastColumn="0" w:oddVBand="1" w:evenVBand="0" w:oddHBand="0" w:evenHBand="0" w:firstRowFirstColumn="0" w:firstRowLastColumn="0" w:lastRowFirstColumn="0" w:lastRowLastColumn="0"/>
            <w:tcW w:w="731" w:type="pct"/>
            <w:shd w:val="clear" w:color="auto" w:fill="C6D9F1" w:themeFill="text2" w:themeFillTint="33"/>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естественный прирост</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1945</w:t>
            </w:r>
          </w:p>
        </w:tc>
        <w:tc>
          <w:tcPr>
            <w:tcW w:w="731" w:type="pct"/>
          </w:tcPr>
          <w:p w:rsidR="00D7313E" w:rsidRPr="00F71818"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12763</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F71818" w:rsidRDefault="00D7313E" w:rsidP="00023055">
            <w:pPr>
              <w:spacing w:before="40" w:after="40"/>
              <w:ind w:right="700"/>
              <w:jc w:val="right"/>
              <w:rPr>
                <w:rFonts w:ascii="Arial" w:hAnsi="Arial" w:cs="Arial"/>
                <w:sz w:val="18"/>
                <w:szCs w:val="18"/>
                <w:lang w:val="en-US"/>
              </w:rPr>
            </w:pPr>
            <w:r>
              <w:rPr>
                <w:rFonts w:ascii="Arial" w:hAnsi="Arial" w:cs="Arial"/>
                <w:sz w:val="18"/>
                <w:szCs w:val="18"/>
                <w:lang w:val="en-US"/>
              </w:rPr>
              <w:t>9556</w:t>
            </w:r>
          </w:p>
        </w:tc>
        <w:tc>
          <w:tcPr>
            <w:tcW w:w="731" w:type="pct"/>
          </w:tcPr>
          <w:p w:rsidR="00D7313E" w:rsidRPr="00F71818"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3207</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F71818" w:rsidRDefault="00D7313E" w:rsidP="00023055">
            <w:pPr>
              <w:spacing w:before="40" w:after="40"/>
              <w:ind w:right="731"/>
              <w:jc w:val="right"/>
              <w:rPr>
                <w:rFonts w:ascii="Arial" w:hAnsi="Arial" w:cs="Arial"/>
                <w:sz w:val="18"/>
                <w:szCs w:val="18"/>
                <w:lang w:val="en-US"/>
              </w:rPr>
            </w:pPr>
            <w:r>
              <w:rPr>
                <w:rFonts w:ascii="Arial" w:hAnsi="Arial" w:cs="Arial"/>
                <w:sz w:val="18"/>
                <w:szCs w:val="18"/>
                <w:lang w:val="en-US"/>
              </w:rPr>
              <w:t>1</w:t>
            </w:r>
            <w:r>
              <w:rPr>
                <w:rFonts w:ascii="Arial" w:hAnsi="Arial" w:cs="Arial"/>
                <w:sz w:val="18"/>
                <w:szCs w:val="18"/>
              </w:rPr>
              <w:t>3,0</w:t>
            </w:r>
          </w:p>
        </w:tc>
        <w:tc>
          <w:tcPr>
            <w:tcW w:w="731" w:type="pct"/>
          </w:tcPr>
          <w:p w:rsidR="00D7313E" w:rsidRPr="0053759F" w:rsidRDefault="00D7313E" w:rsidP="00023055">
            <w:pPr>
              <w:spacing w:before="40" w:after="40"/>
              <w:ind w:right="73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9,0</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4,0</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1950</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27812</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10366</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17446</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26,0</w:t>
            </w:r>
          </w:p>
        </w:tc>
        <w:tc>
          <w:tcPr>
            <w:tcW w:w="731" w:type="pct"/>
          </w:tcPr>
          <w:p w:rsidR="00D7313E" w:rsidRPr="0053759F" w:rsidRDefault="00D7313E" w:rsidP="00023055">
            <w:pPr>
              <w:spacing w:before="40" w:after="40"/>
              <w:ind w:right="73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10,0</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16,0</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1955</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26939</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8906</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18033</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24,0</w:t>
            </w:r>
          </w:p>
        </w:tc>
        <w:tc>
          <w:tcPr>
            <w:tcW w:w="731" w:type="pct"/>
          </w:tcPr>
          <w:p w:rsidR="00D7313E" w:rsidRPr="0053759F" w:rsidRDefault="00D7313E" w:rsidP="00023055">
            <w:pPr>
              <w:spacing w:before="40" w:after="40"/>
              <w:ind w:right="73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8,0</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16,0</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1960</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25722</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8902</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16820</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22,8</w:t>
            </w:r>
          </w:p>
        </w:tc>
        <w:tc>
          <w:tcPr>
            <w:tcW w:w="731" w:type="pct"/>
          </w:tcPr>
          <w:p w:rsidR="00D7313E" w:rsidRPr="0053759F" w:rsidRDefault="00D7313E" w:rsidP="00023055">
            <w:pPr>
              <w:spacing w:before="40" w:after="40"/>
              <w:ind w:right="73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7,9</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14,9</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1965</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18517</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9544</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8973</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15,7</w:t>
            </w:r>
          </w:p>
        </w:tc>
        <w:tc>
          <w:tcPr>
            <w:tcW w:w="731" w:type="pct"/>
          </w:tcPr>
          <w:p w:rsidR="00D7313E" w:rsidRPr="0053759F" w:rsidRDefault="00D7313E" w:rsidP="00023055">
            <w:pPr>
              <w:spacing w:before="40" w:after="40"/>
              <w:ind w:right="73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8,1</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7,6</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614" w:type="pct"/>
          </w:tcPr>
          <w:p w:rsidR="00D7313E" w:rsidRPr="002D7D71" w:rsidRDefault="00D7313E" w:rsidP="00023055">
            <w:pPr>
              <w:spacing w:before="40" w:after="40"/>
              <w:jc w:val="center"/>
              <w:rPr>
                <w:rFonts w:ascii="Arial" w:hAnsi="Arial" w:cs="Arial"/>
                <w:sz w:val="18"/>
                <w:szCs w:val="18"/>
                <w:lang w:val="en-US"/>
              </w:rPr>
            </w:pPr>
            <w:r w:rsidRPr="0053759F">
              <w:rPr>
                <w:rFonts w:ascii="Arial" w:hAnsi="Arial" w:cs="Arial"/>
                <w:sz w:val="18"/>
                <w:szCs w:val="18"/>
              </w:rPr>
              <w:t>1970</w:t>
            </w:r>
          </w:p>
        </w:tc>
        <w:tc>
          <w:tcPr>
            <w:tcW w:w="731" w:type="pct"/>
          </w:tcPr>
          <w:p w:rsidR="00D7313E" w:rsidRPr="002D7D71"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17507</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2D7D71" w:rsidRDefault="00D7313E" w:rsidP="00023055">
            <w:pPr>
              <w:spacing w:before="40" w:after="40"/>
              <w:ind w:right="700"/>
              <w:jc w:val="right"/>
              <w:rPr>
                <w:rFonts w:ascii="Arial" w:hAnsi="Arial" w:cs="Arial"/>
                <w:sz w:val="18"/>
                <w:szCs w:val="18"/>
                <w:lang w:val="en-US"/>
              </w:rPr>
            </w:pPr>
            <w:r>
              <w:rPr>
                <w:rFonts w:ascii="Arial" w:hAnsi="Arial" w:cs="Arial"/>
                <w:sz w:val="18"/>
                <w:szCs w:val="18"/>
                <w:lang w:val="en-US"/>
              </w:rPr>
              <w:t>10784</w:t>
            </w:r>
          </w:p>
        </w:tc>
        <w:tc>
          <w:tcPr>
            <w:tcW w:w="731" w:type="pct"/>
          </w:tcPr>
          <w:p w:rsidR="00D7313E" w:rsidRPr="002D7D71"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6723</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14,2</w:t>
            </w:r>
          </w:p>
        </w:tc>
        <w:tc>
          <w:tcPr>
            <w:tcW w:w="731" w:type="pct"/>
          </w:tcPr>
          <w:p w:rsidR="00D7313E" w:rsidRPr="0053759F" w:rsidRDefault="00D7313E" w:rsidP="00023055">
            <w:pPr>
              <w:spacing w:before="40" w:after="40"/>
              <w:ind w:right="73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8,8</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5,4</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1975</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18074</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12478</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5596</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14,5</w:t>
            </w:r>
          </w:p>
        </w:tc>
        <w:tc>
          <w:tcPr>
            <w:tcW w:w="731" w:type="pct"/>
          </w:tcPr>
          <w:p w:rsidR="00D7313E" w:rsidRPr="0053759F" w:rsidRDefault="00D7313E" w:rsidP="00023055">
            <w:pPr>
              <w:spacing w:before="40" w:after="40"/>
              <w:ind w:right="73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10,0</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4,5</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1980</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19230</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14092</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5138</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15,1</w:t>
            </w:r>
          </w:p>
        </w:tc>
        <w:tc>
          <w:tcPr>
            <w:tcW w:w="731" w:type="pct"/>
          </w:tcPr>
          <w:p w:rsidR="00D7313E" w:rsidRPr="0053759F" w:rsidRDefault="00D7313E" w:rsidP="00023055">
            <w:pPr>
              <w:spacing w:before="40" w:after="40"/>
              <w:ind w:right="73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11,0</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4,1</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1985</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21952</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14764</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7188</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16,6</w:t>
            </w:r>
          </w:p>
        </w:tc>
        <w:tc>
          <w:tcPr>
            <w:tcW w:w="731" w:type="pct"/>
          </w:tcPr>
          <w:p w:rsidR="00D7313E" w:rsidRPr="0053759F" w:rsidRDefault="00D7313E" w:rsidP="00023055">
            <w:pPr>
              <w:spacing w:before="40" w:after="40"/>
              <w:ind w:right="73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11,1</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5,5</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1990</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20013</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sidRPr="0053759F">
              <w:rPr>
                <w:rFonts w:ascii="Arial" w:hAnsi="Arial" w:cs="Arial"/>
                <w:sz w:val="18"/>
                <w:szCs w:val="18"/>
              </w:rPr>
              <w:t>15968</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4045</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sidRPr="0053759F">
              <w:rPr>
                <w:rFonts w:ascii="Arial" w:hAnsi="Arial" w:cs="Arial"/>
                <w:sz w:val="18"/>
                <w:szCs w:val="18"/>
              </w:rPr>
              <w:t>14,1</w:t>
            </w:r>
          </w:p>
        </w:tc>
        <w:tc>
          <w:tcPr>
            <w:tcW w:w="731" w:type="pct"/>
          </w:tcPr>
          <w:p w:rsidR="00D7313E" w:rsidRPr="0053759F" w:rsidRDefault="00D7313E" w:rsidP="00023055">
            <w:pPr>
              <w:spacing w:before="40" w:after="40"/>
              <w:ind w:right="73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11,3</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sidRPr="0053759F">
              <w:rPr>
                <w:rFonts w:ascii="Arial" w:hAnsi="Arial" w:cs="Arial"/>
                <w:sz w:val="18"/>
                <w:szCs w:val="18"/>
              </w:rPr>
              <w:t>2,8</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2000</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11547</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sidRPr="0053759F">
              <w:rPr>
                <w:rFonts w:ascii="Arial" w:hAnsi="Arial" w:cs="Arial"/>
                <w:sz w:val="18"/>
                <w:szCs w:val="18"/>
              </w:rPr>
              <w:t>22146</w:t>
            </w:r>
          </w:p>
        </w:tc>
        <w:tc>
          <w:tcPr>
            <w:tcW w:w="731" w:type="pct"/>
          </w:tcPr>
          <w:p w:rsidR="00D7313E" w:rsidRPr="0053759F"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-10599</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sidRPr="0053759F">
              <w:rPr>
                <w:rFonts w:ascii="Arial" w:hAnsi="Arial" w:cs="Arial"/>
                <w:sz w:val="18"/>
                <w:szCs w:val="18"/>
              </w:rPr>
              <w:t>8,1</w:t>
            </w:r>
          </w:p>
        </w:tc>
        <w:tc>
          <w:tcPr>
            <w:tcW w:w="731" w:type="pct"/>
          </w:tcPr>
          <w:p w:rsidR="00D7313E" w:rsidRPr="0053759F" w:rsidRDefault="00D7313E" w:rsidP="00023055">
            <w:pPr>
              <w:spacing w:before="40" w:after="40"/>
              <w:ind w:right="73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15,6</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sidRPr="0053759F">
              <w:rPr>
                <w:rFonts w:ascii="Arial" w:hAnsi="Arial" w:cs="Arial"/>
                <w:sz w:val="18"/>
                <w:szCs w:val="18"/>
              </w:rPr>
              <w:t>-7,5</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2010</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13716</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00"/>
              <w:jc w:val="right"/>
              <w:rPr>
                <w:rFonts w:ascii="Arial" w:hAnsi="Arial" w:cs="Arial"/>
                <w:sz w:val="18"/>
                <w:szCs w:val="18"/>
              </w:rPr>
            </w:pPr>
            <w:r>
              <w:rPr>
                <w:rFonts w:ascii="Arial" w:hAnsi="Arial" w:cs="Arial"/>
                <w:sz w:val="18"/>
                <w:szCs w:val="18"/>
              </w:rPr>
              <w:t>20403</w:t>
            </w:r>
          </w:p>
        </w:tc>
        <w:tc>
          <w:tcPr>
            <w:tcW w:w="731" w:type="pct"/>
          </w:tcPr>
          <w:p w:rsidR="00D7313E" w:rsidRPr="0053759F" w:rsidRDefault="00D7313E" w:rsidP="00023055">
            <w:pPr>
              <w:spacing w:before="40" w:after="40"/>
              <w:ind w:right="70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-6687</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731"/>
              <w:jc w:val="right"/>
              <w:rPr>
                <w:rFonts w:ascii="Arial" w:hAnsi="Arial" w:cs="Arial"/>
                <w:sz w:val="18"/>
                <w:szCs w:val="18"/>
              </w:rPr>
            </w:pPr>
            <w:r>
              <w:rPr>
                <w:rFonts w:ascii="Arial" w:hAnsi="Arial" w:cs="Arial"/>
                <w:sz w:val="18"/>
                <w:szCs w:val="18"/>
              </w:rPr>
              <w:t>10,6</w:t>
            </w:r>
          </w:p>
        </w:tc>
        <w:tc>
          <w:tcPr>
            <w:tcW w:w="731" w:type="pct"/>
          </w:tcPr>
          <w:p w:rsidR="00D7313E" w:rsidRPr="0053759F" w:rsidRDefault="00D7313E" w:rsidP="00023055">
            <w:pPr>
              <w:spacing w:before="40" w:after="40"/>
              <w:ind w:right="73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15,7</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53759F" w:rsidRDefault="00D7313E" w:rsidP="00023055">
            <w:pPr>
              <w:spacing w:before="40" w:after="40"/>
              <w:ind w:right="556"/>
              <w:jc w:val="right"/>
              <w:rPr>
                <w:rFonts w:ascii="Arial" w:hAnsi="Arial" w:cs="Arial"/>
                <w:sz w:val="18"/>
                <w:szCs w:val="18"/>
              </w:rPr>
            </w:pPr>
            <w:r>
              <w:rPr>
                <w:rFonts w:ascii="Arial" w:hAnsi="Arial" w:cs="Arial"/>
                <w:sz w:val="18"/>
                <w:szCs w:val="18"/>
              </w:rPr>
              <w:t>-5,1</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14" w:type="pct"/>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2011</w:t>
            </w:r>
          </w:p>
        </w:tc>
        <w:tc>
          <w:tcPr>
            <w:tcW w:w="731" w:type="pct"/>
          </w:tcPr>
          <w:p w:rsidR="00D7313E" w:rsidRPr="00173160"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13853</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173160" w:rsidRDefault="00D7313E" w:rsidP="00023055">
            <w:pPr>
              <w:spacing w:before="40" w:after="40"/>
              <w:ind w:right="700"/>
              <w:jc w:val="right"/>
              <w:rPr>
                <w:rFonts w:ascii="Arial" w:hAnsi="Arial" w:cs="Arial"/>
                <w:sz w:val="18"/>
                <w:szCs w:val="18"/>
              </w:rPr>
            </w:pPr>
            <w:r>
              <w:rPr>
                <w:rFonts w:ascii="Arial" w:hAnsi="Arial" w:cs="Arial"/>
                <w:sz w:val="18"/>
                <w:szCs w:val="18"/>
              </w:rPr>
              <w:t>19030</w:t>
            </w:r>
          </w:p>
        </w:tc>
        <w:tc>
          <w:tcPr>
            <w:tcW w:w="731" w:type="pct"/>
          </w:tcPr>
          <w:p w:rsidR="00D7313E" w:rsidRPr="00173160" w:rsidRDefault="00D7313E" w:rsidP="00023055">
            <w:pPr>
              <w:spacing w:before="40" w:after="40"/>
              <w:ind w:right="70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-5177</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173160" w:rsidRDefault="00D7313E" w:rsidP="00023055">
            <w:pPr>
              <w:spacing w:before="40" w:after="40"/>
              <w:ind w:right="731"/>
              <w:jc w:val="right"/>
              <w:rPr>
                <w:rFonts w:ascii="Arial" w:hAnsi="Arial" w:cs="Arial"/>
                <w:sz w:val="18"/>
                <w:szCs w:val="18"/>
              </w:rPr>
            </w:pPr>
            <w:r>
              <w:rPr>
                <w:rFonts w:ascii="Arial" w:hAnsi="Arial" w:cs="Arial"/>
                <w:sz w:val="18"/>
                <w:szCs w:val="18"/>
              </w:rPr>
              <w:t>10,8</w:t>
            </w:r>
          </w:p>
        </w:tc>
        <w:tc>
          <w:tcPr>
            <w:tcW w:w="731" w:type="pct"/>
          </w:tcPr>
          <w:p w:rsidR="00D7313E" w:rsidRPr="00173160" w:rsidRDefault="00D7313E" w:rsidP="00023055">
            <w:pPr>
              <w:spacing w:before="40" w:after="40"/>
              <w:ind w:right="73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14,8</w:t>
            </w:r>
          </w:p>
        </w:tc>
        <w:tc>
          <w:tcPr>
            <w:cnfStyle w:val="000010000000" w:firstRow="0" w:lastRow="0" w:firstColumn="0" w:lastColumn="0" w:oddVBand="1" w:evenVBand="0" w:oddHBand="0" w:evenHBand="0" w:firstRowFirstColumn="0" w:firstRowLastColumn="0" w:lastRowFirstColumn="0" w:lastRowLastColumn="0"/>
            <w:tcW w:w="731" w:type="pct"/>
          </w:tcPr>
          <w:p w:rsidR="00D7313E" w:rsidRPr="00173160" w:rsidRDefault="00D7313E" w:rsidP="00023055">
            <w:pPr>
              <w:spacing w:before="40" w:after="40"/>
              <w:ind w:right="556"/>
              <w:jc w:val="right"/>
              <w:rPr>
                <w:rFonts w:ascii="Arial" w:hAnsi="Arial" w:cs="Arial"/>
                <w:sz w:val="18"/>
                <w:szCs w:val="18"/>
              </w:rPr>
            </w:pPr>
            <w:r>
              <w:rPr>
                <w:rFonts w:ascii="Arial" w:hAnsi="Arial" w:cs="Arial"/>
                <w:sz w:val="18"/>
                <w:szCs w:val="18"/>
              </w:rPr>
              <w:t>-4,0</w:t>
            </w:r>
          </w:p>
        </w:tc>
      </w:tr>
    </w:tbl>
    <w:p w:rsidR="00D7313E" w:rsidRDefault="00D7313E" w:rsidP="00D7313E">
      <w:pPr>
        <w:pStyle w:val="35"/>
        <w:spacing w:before="120"/>
      </w:pPr>
      <w:r>
        <w:t>ЧИСЛЕННОСТЬ ПОСТОЯННОГО НАСЕЛЕНИЯ</w:t>
      </w:r>
    </w:p>
    <w:p w:rsidR="00D7313E" w:rsidRDefault="00D7313E" w:rsidP="00D7313E">
      <w:pPr>
        <w:spacing w:after="120"/>
        <w:jc w:val="center"/>
        <w:rPr>
          <w:rFonts w:ascii="Arial" w:hAnsi="Arial" w:cs="Arial"/>
          <w:sz w:val="22"/>
        </w:rPr>
      </w:pPr>
      <w:r>
        <w:rPr>
          <w:rFonts w:ascii="Arial" w:hAnsi="Arial" w:cs="Arial"/>
          <w:sz w:val="22"/>
        </w:rPr>
        <w:t>(по данным переписей населения; тыс. человек)</w:t>
      </w:r>
    </w:p>
    <w:tbl>
      <w:tblPr>
        <w:tblStyle w:val="-11"/>
        <w:tblW w:w="5000" w:type="pct"/>
        <w:tblLook w:val="0000" w:firstRow="0" w:lastRow="0" w:firstColumn="0" w:lastColumn="0" w:noHBand="0" w:noVBand="0"/>
      </w:tblPr>
      <w:tblGrid>
        <w:gridCol w:w="3837"/>
        <w:gridCol w:w="2190"/>
        <w:gridCol w:w="2384"/>
        <w:gridCol w:w="2382"/>
        <w:gridCol w:w="1854"/>
        <w:gridCol w:w="1857"/>
      </w:tblGrid>
      <w:tr w:rsidR="00D7313E" w:rsidRPr="0053759F" w:rsidTr="00023055">
        <w:trPr>
          <w:cnfStyle w:val="000000100000" w:firstRow="0" w:lastRow="0" w:firstColumn="0" w:lastColumn="0" w:oddVBand="0" w:evenVBand="0" w:oddHBand="1" w:evenHBand="0" w:firstRowFirstColumn="0" w:firstRowLastColumn="0" w:lastRowFirstColumn="0" w:lastRowLastColumn="0"/>
          <w:trHeight w:val="193"/>
        </w:trPr>
        <w:tc>
          <w:tcPr>
            <w:cnfStyle w:val="000010000000" w:firstRow="0" w:lastRow="0" w:firstColumn="0" w:lastColumn="0" w:oddVBand="1" w:evenVBand="0" w:oddHBand="0" w:evenHBand="0" w:firstRowFirstColumn="0" w:firstRowLastColumn="0" w:lastRowFirstColumn="0" w:lastRowLastColumn="0"/>
            <w:tcW w:w="1323" w:type="pct"/>
            <w:vMerge w:val="restart"/>
            <w:shd w:val="clear" w:color="auto" w:fill="C6D9F1" w:themeFill="text2" w:themeFillTint="33"/>
          </w:tcPr>
          <w:p w:rsidR="00D7313E" w:rsidRPr="0053759F" w:rsidRDefault="00D7313E" w:rsidP="00023055">
            <w:pPr>
              <w:spacing w:before="40" w:after="40"/>
              <w:jc w:val="center"/>
              <w:rPr>
                <w:rFonts w:ascii="Arial" w:hAnsi="Arial" w:cs="Arial"/>
                <w:sz w:val="18"/>
                <w:szCs w:val="18"/>
              </w:rPr>
            </w:pPr>
          </w:p>
        </w:tc>
        <w:tc>
          <w:tcPr>
            <w:tcW w:w="755" w:type="pct"/>
            <w:vMerge w:val="restart"/>
            <w:shd w:val="clear" w:color="auto" w:fill="C6D9F1" w:themeFill="text2" w:themeFillTint="33"/>
          </w:tcPr>
          <w:p w:rsidR="00D7313E" w:rsidRPr="0053759F" w:rsidRDefault="00D7313E" w:rsidP="00023055">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 xml:space="preserve">Все </w:t>
            </w:r>
          </w:p>
          <w:p w:rsidR="00D7313E" w:rsidRPr="0053759F" w:rsidRDefault="00D7313E" w:rsidP="00023055">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население</w:t>
            </w:r>
          </w:p>
        </w:tc>
        <w:tc>
          <w:tcPr>
            <w:cnfStyle w:val="000010000000" w:firstRow="0" w:lastRow="0" w:firstColumn="0" w:lastColumn="0" w:oddVBand="1" w:evenVBand="0" w:oddHBand="0" w:evenHBand="0" w:firstRowFirstColumn="0" w:firstRowLastColumn="0" w:lastRowFirstColumn="0" w:lastRowLastColumn="0"/>
            <w:tcW w:w="1643" w:type="pct"/>
            <w:gridSpan w:val="2"/>
            <w:shd w:val="clear" w:color="auto" w:fill="C6D9F1" w:themeFill="text2" w:themeFillTint="33"/>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в том числе:</w:t>
            </w:r>
          </w:p>
        </w:tc>
        <w:tc>
          <w:tcPr>
            <w:tcW w:w="1278" w:type="pct"/>
            <w:gridSpan w:val="2"/>
            <w:shd w:val="clear" w:color="auto" w:fill="C6D9F1" w:themeFill="text2" w:themeFillTint="33"/>
          </w:tcPr>
          <w:p w:rsidR="00D7313E" w:rsidRPr="0053759F" w:rsidRDefault="00D7313E" w:rsidP="00023055">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roofErr w:type="gramStart"/>
            <w:r w:rsidRPr="0053759F">
              <w:rPr>
                <w:rFonts w:ascii="Arial" w:hAnsi="Arial" w:cs="Arial"/>
                <w:sz w:val="18"/>
                <w:szCs w:val="18"/>
              </w:rPr>
              <w:t>в</w:t>
            </w:r>
            <w:proofErr w:type="gramEnd"/>
            <w:r w:rsidRPr="0053759F">
              <w:rPr>
                <w:rFonts w:ascii="Arial" w:hAnsi="Arial" w:cs="Arial"/>
                <w:sz w:val="18"/>
                <w:szCs w:val="18"/>
              </w:rPr>
              <w:t xml:space="preserve">  %  ко всему населению </w:t>
            </w:r>
          </w:p>
        </w:tc>
      </w:tr>
      <w:tr w:rsidR="00D7313E" w:rsidRPr="0053759F" w:rsidTr="00023055">
        <w:trPr>
          <w:trHeight w:val="75"/>
        </w:trPr>
        <w:tc>
          <w:tcPr>
            <w:cnfStyle w:val="000010000000" w:firstRow="0" w:lastRow="0" w:firstColumn="0" w:lastColumn="0" w:oddVBand="1" w:evenVBand="0" w:oddHBand="0" w:evenHBand="0" w:firstRowFirstColumn="0" w:firstRowLastColumn="0" w:lastRowFirstColumn="0" w:lastRowLastColumn="0"/>
            <w:tcW w:w="1323" w:type="pct"/>
            <w:vMerge/>
            <w:shd w:val="clear" w:color="auto" w:fill="C6D9F1" w:themeFill="text2" w:themeFillTint="33"/>
          </w:tcPr>
          <w:p w:rsidR="00D7313E" w:rsidRPr="0053759F" w:rsidRDefault="00D7313E" w:rsidP="00023055">
            <w:pPr>
              <w:spacing w:before="40" w:after="40"/>
              <w:jc w:val="center"/>
              <w:rPr>
                <w:rFonts w:ascii="Arial" w:hAnsi="Arial" w:cs="Arial"/>
                <w:sz w:val="18"/>
                <w:szCs w:val="18"/>
              </w:rPr>
            </w:pPr>
          </w:p>
        </w:tc>
        <w:tc>
          <w:tcPr>
            <w:tcW w:w="755" w:type="pct"/>
            <w:vMerge/>
            <w:shd w:val="clear" w:color="auto" w:fill="C6D9F1" w:themeFill="text2" w:themeFillTint="33"/>
          </w:tcPr>
          <w:p w:rsidR="00D7313E" w:rsidRPr="0053759F" w:rsidRDefault="00D7313E" w:rsidP="00023055">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822" w:type="pct"/>
            <w:shd w:val="clear" w:color="auto" w:fill="C6D9F1" w:themeFill="text2" w:themeFillTint="33"/>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городское</w:t>
            </w:r>
          </w:p>
        </w:tc>
        <w:tc>
          <w:tcPr>
            <w:tcW w:w="821" w:type="pct"/>
            <w:shd w:val="clear" w:color="auto" w:fill="C6D9F1" w:themeFill="text2" w:themeFillTint="33"/>
          </w:tcPr>
          <w:p w:rsidR="00D7313E" w:rsidRPr="0053759F" w:rsidRDefault="00D7313E" w:rsidP="00023055">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сельское</w:t>
            </w:r>
          </w:p>
        </w:tc>
        <w:tc>
          <w:tcPr>
            <w:cnfStyle w:val="000010000000" w:firstRow="0" w:lastRow="0" w:firstColumn="0" w:lastColumn="0" w:oddVBand="1" w:evenVBand="0" w:oddHBand="0" w:evenHBand="0" w:firstRowFirstColumn="0" w:firstRowLastColumn="0" w:lastRowFirstColumn="0" w:lastRowLastColumn="0"/>
            <w:tcW w:w="639" w:type="pct"/>
            <w:shd w:val="clear" w:color="auto" w:fill="C6D9F1" w:themeFill="text2" w:themeFillTint="33"/>
          </w:tcPr>
          <w:p w:rsidR="00D7313E" w:rsidRPr="0053759F" w:rsidRDefault="00D7313E" w:rsidP="00023055">
            <w:pPr>
              <w:spacing w:before="40" w:after="40"/>
              <w:jc w:val="center"/>
              <w:rPr>
                <w:rFonts w:ascii="Arial" w:hAnsi="Arial" w:cs="Arial"/>
                <w:sz w:val="18"/>
                <w:szCs w:val="18"/>
              </w:rPr>
            </w:pPr>
            <w:r w:rsidRPr="0053759F">
              <w:rPr>
                <w:rFonts w:ascii="Arial" w:hAnsi="Arial" w:cs="Arial"/>
                <w:sz w:val="18"/>
                <w:szCs w:val="18"/>
              </w:rPr>
              <w:t>городское</w:t>
            </w:r>
          </w:p>
        </w:tc>
        <w:tc>
          <w:tcPr>
            <w:tcW w:w="639" w:type="pct"/>
            <w:shd w:val="clear" w:color="auto" w:fill="C6D9F1" w:themeFill="text2" w:themeFillTint="33"/>
          </w:tcPr>
          <w:p w:rsidR="00D7313E" w:rsidRPr="0053759F" w:rsidRDefault="00D7313E" w:rsidP="00023055">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сельское</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23" w:type="pct"/>
          </w:tcPr>
          <w:p w:rsidR="00D7313E" w:rsidRPr="00DB474A" w:rsidRDefault="00D7313E" w:rsidP="00023055">
            <w:pPr>
              <w:spacing w:before="60" w:after="60"/>
              <w:rPr>
                <w:rFonts w:ascii="Arial" w:hAnsi="Arial" w:cs="Arial"/>
                <w:sz w:val="18"/>
                <w:szCs w:val="18"/>
                <w:vertAlign w:val="superscript"/>
              </w:rPr>
            </w:pPr>
            <w:r w:rsidRPr="0053759F">
              <w:rPr>
                <w:rFonts w:ascii="Arial" w:hAnsi="Arial" w:cs="Arial"/>
                <w:sz w:val="18"/>
                <w:szCs w:val="18"/>
              </w:rPr>
              <w:t>1950 (на 1 января</w:t>
            </w:r>
            <w:r>
              <w:rPr>
                <w:rFonts w:ascii="Arial" w:hAnsi="Arial" w:cs="Arial"/>
                <w:sz w:val="18"/>
                <w:szCs w:val="18"/>
              </w:rPr>
              <w:t>*</w:t>
            </w:r>
            <w:r w:rsidRPr="0053759F">
              <w:rPr>
                <w:rFonts w:ascii="Arial" w:hAnsi="Arial" w:cs="Arial"/>
                <w:sz w:val="18"/>
                <w:szCs w:val="18"/>
              </w:rPr>
              <w:t>)</w:t>
            </w:r>
          </w:p>
        </w:tc>
        <w:tc>
          <w:tcPr>
            <w:tcW w:w="755" w:type="pct"/>
          </w:tcPr>
          <w:p w:rsidR="00D7313E" w:rsidRPr="0053759F" w:rsidRDefault="00D7313E" w:rsidP="00023055">
            <w:pPr>
              <w:spacing w:before="60" w:after="60"/>
              <w:ind w:right="844"/>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1120,4</w:t>
            </w:r>
          </w:p>
        </w:tc>
        <w:tc>
          <w:tcPr>
            <w:cnfStyle w:val="000010000000" w:firstRow="0" w:lastRow="0" w:firstColumn="0" w:lastColumn="0" w:oddVBand="1" w:evenVBand="0" w:oddHBand="0" w:evenHBand="0" w:firstRowFirstColumn="0" w:firstRowLastColumn="0" w:lastRowFirstColumn="0" w:lastRowLastColumn="0"/>
            <w:tcW w:w="822" w:type="pct"/>
          </w:tcPr>
          <w:p w:rsidR="00D7313E" w:rsidRPr="0053759F" w:rsidRDefault="00D7313E" w:rsidP="00023055">
            <w:pPr>
              <w:spacing w:before="60" w:after="60"/>
              <w:ind w:right="823"/>
              <w:jc w:val="right"/>
              <w:rPr>
                <w:rFonts w:ascii="Arial" w:hAnsi="Arial" w:cs="Arial"/>
                <w:sz w:val="18"/>
                <w:szCs w:val="18"/>
              </w:rPr>
            </w:pPr>
            <w:r w:rsidRPr="0053759F">
              <w:rPr>
                <w:rFonts w:ascii="Arial" w:hAnsi="Arial" w:cs="Arial"/>
                <w:sz w:val="18"/>
                <w:szCs w:val="18"/>
              </w:rPr>
              <w:t>301,2</w:t>
            </w:r>
          </w:p>
        </w:tc>
        <w:tc>
          <w:tcPr>
            <w:tcW w:w="821" w:type="pct"/>
          </w:tcPr>
          <w:p w:rsidR="00D7313E" w:rsidRPr="0053759F" w:rsidRDefault="00D7313E" w:rsidP="00023055">
            <w:pPr>
              <w:spacing w:before="60" w:after="60"/>
              <w:ind w:right="82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819,2</w:t>
            </w:r>
          </w:p>
        </w:tc>
        <w:tc>
          <w:tcPr>
            <w:cnfStyle w:val="000010000000" w:firstRow="0" w:lastRow="0" w:firstColumn="0" w:lastColumn="0" w:oddVBand="1" w:evenVBand="0" w:oddHBand="0" w:evenHBand="0" w:firstRowFirstColumn="0" w:firstRowLastColumn="0" w:lastRowFirstColumn="0" w:lastRowLastColumn="0"/>
            <w:tcW w:w="639" w:type="pct"/>
          </w:tcPr>
          <w:p w:rsidR="00D7313E" w:rsidRPr="0053759F" w:rsidRDefault="00D7313E" w:rsidP="00023055">
            <w:pPr>
              <w:spacing w:before="60" w:after="60"/>
              <w:ind w:right="557"/>
              <w:jc w:val="right"/>
              <w:rPr>
                <w:rFonts w:ascii="Arial" w:hAnsi="Arial" w:cs="Arial"/>
                <w:sz w:val="18"/>
                <w:szCs w:val="18"/>
              </w:rPr>
            </w:pPr>
            <w:r w:rsidRPr="0053759F">
              <w:rPr>
                <w:rFonts w:ascii="Arial" w:hAnsi="Arial" w:cs="Arial"/>
                <w:sz w:val="18"/>
                <w:szCs w:val="18"/>
              </w:rPr>
              <w:t>26,9</w:t>
            </w:r>
          </w:p>
        </w:tc>
        <w:tc>
          <w:tcPr>
            <w:tcW w:w="639" w:type="pct"/>
          </w:tcPr>
          <w:p w:rsidR="00D7313E" w:rsidRPr="0053759F" w:rsidRDefault="00D7313E" w:rsidP="00023055">
            <w:pPr>
              <w:spacing w:before="60" w:after="60"/>
              <w:ind w:right="5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73,1</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1323" w:type="pct"/>
          </w:tcPr>
          <w:p w:rsidR="00D7313E" w:rsidRPr="0053759F" w:rsidRDefault="00D7313E" w:rsidP="00023055">
            <w:pPr>
              <w:spacing w:before="60" w:after="60"/>
              <w:rPr>
                <w:rFonts w:ascii="Arial" w:hAnsi="Arial" w:cs="Arial"/>
                <w:sz w:val="18"/>
                <w:szCs w:val="18"/>
              </w:rPr>
            </w:pPr>
            <w:r w:rsidRPr="0053759F">
              <w:rPr>
                <w:rFonts w:ascii="Arial" w:hAnsi="Arial" w:cs="Arial"/>
                <w:sz w:val="18"/>
                <w:szCs w:val="18"/>
              </w:rPr>
              <w:t>1959 (на 15 января)</w:t>
            </w:r>
          </w:p>
        </w:tc>
        <w:tc>
          <w:tcPr>
            <w:tcW w:w="755" w:type="pct"/>
          </w:tcPr>
          <w:p w:rsidR="00D7313E" w:rsidRPr="0053759F" w:rsidRDefault="00D7313E" w:rsidP="00023055">
            <w:pPr>
              <w:spacing w:before="60" w:after="60"/>
              <w:ind w:right="844"/>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1116,9</w:t>
            </w:r>
          </w:p>
        </w:tc>
        <w:tc>
          <w:tcPr>
            <w:cnfStyle w:val="000010000000" w:firstRow="0" w:lastRow="0" w:firstColumn="0" w:lastColumn="0" w:oddVBand="1" w:evenVBand="0" w:oddHBand="0" w:evenHBand="0" w:firstRowFirstColumn="0" w:firstRowLastColumn="0" w:lastRowFirstColumn="0" w:lastRowLastColumn="0"/>
            <w:tcW w:w="822" w:type="pct"/>
          </w:tcPr>
          <w:p w:rsidR="00D7313E" w:rsidRPr="0053759F" w:rsidRDefault="00D7313E" w:rsidP="00023055">
            <w:pPr>
              <w:spacing w:before="60" w:after="60"/>
              <w:ind w:right="823"/>
              <w:jc w:val="right"/>
              <w:rPr>
                <w:rFonts w:ascii="Arial" w:hAnsi="Arial" w:cs="Arial"/>
                <w:sz w:val="18"/>
                <w:szCs w:val="18"/>
              </w:rPr>
            </w:pPr>
            <w:r w:rsidRPr="0053759F">
              <w:rPr>
                <w:rFonts w:ascii="Arial" w:hAnsi="Arial" w:cs="Arial"/>
                <w:sz w:val="18"/>
                <w:szCs w:val="18"/>
              </w:rPr>
              <w:t>401,3</w:t>
            </w:r>
          </w:p>
        </w:tc>
        <w:tc>
          <w:tcPr>
            <w:tcW w:w="821" w:type="pct"/>
          </w:tcPr>
          <w:p w:rsidR="00D7313E" w:rsidRPr="0053759F" w:rsidRDefault="00D7313E" w:rsidP="00023055">
            <w:pPr>
              <w:spacing w:before="60" w:after="60"/>
              <w:ind w:right="82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715,6</w:t>
            </w:r>
          </w:p>
        </w:tc>
        <w:tc>
          <w:tcPr>
            <w:cnfStyle w:val="000010000000" w:firstRow="0" w:lastRow="0" w:firstColumn="0" w:lastColumn="0" w:oddVBand="1" w:evenVBand="0" w:oddHBand="0" w:evenHBand="0" w:firstRowFirstColumn="0" w:firstRowLastColumn="0" w:lastRowFirstColumn="0" w:lastRowLastColumn="0"/>
            <w:tcW w:w="639" w:type="pct"/>
          </w:tcPr>
          <w:p w:rsidR="00D7313E" w:rsidRPr="0053759F" w:rsidRDefault="00D7313E" w:rsidP="00023055">
            <w:pPr>
              <w:spacing w:before="60" w:after="60"/>
              <w:ind w:right="557"/>
              <w:jc w:val="right"/>
              <w:rPr>
                <w:rFonts w:ascii="Arial" w:hAnsi="Arial" w:cs="Arial"/>
                <w:sz w:val="18"/>
                <w:szCs w:val="18"/>
              </w:rPr>
            </w:pPr>
            <w:r w:rsidRPr="0053759F">
              <w:rPr>
                <w:rFonts w:ascii="Arial" w:hAnsi="Arial" w:cs="Arial"/>
                <w:sz w:val="18"/>
                <w:szCs w:val="18"/>
              </w:rPr>
              <w:t>35,9</w:t>
            </w:r>
          </w:p>
        </w:tc>
        <w:tc>
          <w:tcPr>
            <w:tcW w:w="639" w:type="pct"/>
          </w:tcPr>
          <w:p w:rsidR="00D7313E" w:rsidRPr="0053759F" w:rsidRDefault="00D7313E" w:rsidP="00023055">
            <w:pPr>
              <w:spacing w:before="60" w:after="60"/>
              <w:ind w:right="5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64,1</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23" w:type="pct"/>
          </w:tcPr>
          <w:p w:rsidR="00D7313E" w:rsidRPr="0053759F" w:rsidRDefault="00D7313E" w:rsidP="00023055">
            <w:pPr>
              <w:spacing w:before="60" w:after="60"/>
              <w:rPr>
                <w:rFonts w:ascii="Arial" w:hAnsi="Arial" w:cs="Arial"/>
                <w:sz w:val="18"/>
                <w:szCs w:val="18"/>
              </w:rPr>
            </w:pPr>
            <w:r w:rsidRPr="0053759F">
              <w:rPr>
                <w:rFonts w:ascii="Arial" w:hAnsi="Arial" w:cs="Arial"/>
                <w:sz w:val="18"/>
                <w:szCs w:val="18"/>
              </w:rPr>
              <w:t>1970 (на 15 января)</w:t>
            </w:r>
          </w:p>
        </w:tc>
        <w:tc>
          <w:tcPr>
            <w:tcW w:w="755" w:type="pct"/>
          </w:tcPr>
          <w:p w:rsidR="00D7313E" w:rsidRPr="0053759F" w:rsidRDefault="00D7313E" w:rsidP="00023055">
            <w:pPr>
              <w:spacing w:before="60" w:after="60"/>
              <w:ind w:right="844"/>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1225,2</w:t>
            </w:r>
          </w:p>
        </w:tc>
        <w:tc>
          <w:tcPr>
            <w:cnfStyle w:val="000010000000" w:firstRow="0" w:lastRow="0" w:firstColumn="0" w:lastColumn="0" w:oddVBand="1" w:evenVBand="0" w:oddHBand="0" w:evenHBand="0" w:firstRowFirstColumn="0" w:firstRowLastColumn="0" w:lastRowFirstColumn="0" w:lastRowLastColumn="0"/>
            <w:tcW w:w="822" w:type="pct"/>
          </w:tcPr>
          <w:p w:rsidR="00D7313E" w:rsidRPr="0053759F" w:rsidRDefault="00D7313E" w:rsidP="00023055">
            <w:pPr>
              <w:spacing w:before="60" w:after="60"/>
              <w:ind w:right="823"/>
              <w:jc w:val="right"/>
              <w:rPr>
                <w:rFonts w:ascii="Arial" w:hAnsi="Arial" w:cs="Arial"/>
                <w:sz w:val="18"/>
                <w:szCs w:val="18"/>
              </w:rPr>
            </w:pPr>
            <w:r w:rsidRPr="0053759F">
              <w:rPr>
                <w:rFonts w:ascii="Arial" w:hAnsi="Arial" w:cs="Arial"/>
                <w:sz w:val="18"/>
                <w:szCs w:val="18"/>
              </w:rPr>
              <w:t>638,9</w:t>
            </w:r>
          </w:p>
        </w:tc>
        <w:tc>
          <w:tcPr>
            <w:tcW w:w="821" w:type="pct"/>
          </w:tcPr>
          <w:p w:rsidR="00D7313E" w:rsidRPr="0053759F" w:rsidRDefault="00D7313E" w:rsidP="00023055">
            <w:pPr>
              <w:spacing w:before="60" w:after="60"/>
              <w:ind w:right="82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586,3</w:t>
            </w:r>
          </w:p>
        </w:tc>
        <w:tc>
          <w:tcPr>
            <w:cnfStyle w:val="000010000000" w:firstRow="0" w:lastRow="0" w:firstColumn="0" w:lastColumn="0" w:oddVBand="1" w:evenVBand="0" w:oddHBand="0" w:evenHBand="0" w:firstRowFirstColumn="0" w:firstRowLastColumn="0" w:lastRowFirstColumn="0" w:lastRowLastColumn="0"/>
            <w:tcW w:w="639" w:type="pct"/>
          </w:tcPr>
          <w:p w:rsidR="00D7313E" w:rsidRPr="0053759F" w:rsidRDefault="00D7313E" w:rsidP="00023055">
            <w:pPr>
              <w:spacing w:before="60" w:after="60"/>
              <w:ind w:right="557"/>
              <w:jc w:val="right"/>
              <w:rPr>
                <w:rFonts w:ascii="Arial" w:hAnsi="Arial" w:cs="Arial"/>
                <w:sz w:val="18"/>
                <w:szCs w:val="18"/>
              </w:rPr>
            </w:pPr>
            <w:r w:rsidRPr="0053759F">
              <w:rPr>
                <w:rFonts w:ascii="Arial" w:hAnsi="Arial" w:cs="Arial"/>
                <w:sz w:val="18"/>
                <w:szCs w:val="18"/>
              </w:rPr>
              <w:t>52,1</w:t>
            </w:r>
          </w:p>
        </w:tc>
        <w:tc>
          <w:tcPr>
            <w:tcW w:w="639" w:type="pct"/>
          </w:tcPr>
          <w:p w:rsidR="00D7313E" w:rsidRPr="0053759F" w:rsidRDefault="00D7313E" w:rsidP="00023055">
            <w:pPr>
              <w:spacing w:before="60" w:after="60"/>
              <w:ind w:right="5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47,9</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1323" w:type="pct"/>
          </w:tcPr>
          <w:p w:rsidR="00D7313E" w:rsidRPr="0053759F" w:rsidRDefault="00D7313E" w:rsidP="00023055">
            <w:pPr>
              <w:spacing w:before="60" w:after="60"/>
              <w:rPr>
                <w:rFonts w:ascii="Arial" w:hAnsi="Arial" w:cs="Arial"/>
                <w:sz w:val="18"/>
                <w:szCs w:val="18"/>
              </w:rPr>
            </w:pPr>
            <w:r w:rsidRPr="0053759F">
              <w:rPr>
                <w:rFonts w:ascii="Arial" w:hAnsi="Arial" w:cs="Arial"/>
                <w:sz w:val="18"/>
                <w:szCs w:val="18"/>
              </w:rPr>
              <w:t>1979 (на 17 января)</w:t>
            </w:r>
          </w:p>
        </w:tc>
        <w:tc>
          <w:tcPr>
            <w:tcW w:w="755" w:type="pct"/>
          </w:tcPr>
          <w:p w:rsidR="00D7313E" w:rsidRPr="0053759F" w:rsidRDefault="00D7313E" w:rsidP="00023055">
            <w:pPr>
              <w:spacing w:before="60" w:after="60"/>
              <w:ind w:right="844"/>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1267,8</w:t>
            </w:r>
          </w:p>
        </w:tc>
        <w:tc>
          <w:tcPr>
            <w:cnfStyle w:val="000010000000" w:firstRow="0" w:lastRow="0" w:firstColumn="0" w:lastColumn="0" w:oddVBand="1" w:evenVBand="0" w:oddHBand="0" w:evenHBand="0" w:firstRowFirstColumn="0" w:firstRowLastColumn="0" w:lastRowFirstColumn="0" w:lastRowLastColumn="0"/>
            <w:tcW w:w="822" w:type="pct"/>
          </w:tcPr>
          <w:p w:rsidR="00D7313E" w:rsidRPr="0053759F" w:rsidRDefault="00D7313E" w:rsidP="00023055">
            <w:pPr>
              <w:spacing w:before="60" w:after="60"/>
              <w:ind w:right="823"/>
              <w:jc w:val="right"/>
              <w:rPr>
                <w:rFonts w:ascii="Arial" w:hAnsi="Arial" w:cs="Arial"/>
                <w:sz w:val="18"/>
                <w:szCs w:val="18"/>
              </w:rPr>
            </w:pPr>
            <w:r w:rsidRPr="0053759F">
              <w:rPr>
                <w:rFonts w:ascii="Arial" w:hAnsi="Arial" w:cs="Arial"/>
                <w:sz w:val="18"/>
                <w:szCs w:val="18"/>
              </w:rPr>
              <w:t>798,8</w:t>
            </w:r>
          </w:p>
        </w:tc>
        <w:tc>
          <w:tcPr>
            <w:tcW w:w="821" w:type="pct"/>
          </w:tcPr>
          <w:p w:rsidR="00D7313E" w:rsidRPr="0053759F" w:rsidRDefault="00D7313E" w:rsidP="00023055">
            <w:pPr>
              <w:spacing w:before="60" w:after="60"/>
              <w:ind w:right="82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469,0</w:t>
            </w:r>
          </w:p>
        </w:tc>
        <w:tc>
          <w:tcPr>
            <w:cnfStyle w:val="000010000000" w:firstRow="0" w:lastRow="0" w:firstColumn="0" w:lastColumn="0" w:oddVBand="1" w:evenVBand="0" w:oddHBand="0" w:evenHBand="0" w:firstRowFirstColumn="0" w:firstRowLastColumn="0" w:lastRowFirstColumn="0" w:lastRowLastColumn="0"/>
            <w:tcW w:w="639" w:type="pct"/>
          </w:tcPr>
          <w:p w:rsidR="00D7313E" w:rsidRPr="0053759F" w:rsidRDefault="00D7313E" w:rsidP="00023055">
            <w:pPr>
              <w:spacing w:before="60" w:after="60"/>
              <w:ind w:right="557"/>
              <w:jc w:val="right"/>
              <w:rPr>
                <w:rFonts w:ascii="Arial" w:hAnsi="Arial" w:cs="Arial"/>
                <w:sz w:val="18"/>
                <w:szCs w:val="18"/>
              </w:rPr>
            </w:pPr>
            <w:r w:rsidRPr="0053759F">
              <w:rPr>
                <w:rFonts w:ascii="Arial" w:hAnsi="Arial" w:cs="Arial"/>
                <w:sz w:val="18"/>
                <w:szCs w:val="18"/>
              </w:rPr>
              <w:t>63,0</w:t>
            </w:r>
          </w:p>
        </w:tc>
        <w:tc>
          <w:tcPr>
            <w:tcW w:w="639" w:type="pct"/>
          </w:tcPr>
          <w:p w:rsidR="00D7313E" w:rsidRPr="0053759F" w:rsidRDefault="00D7313E" w:rsidP="00023055">
            <w:pPr>
              <w:spacing w:before="60" w:after="60"/>
              <w:ind w:right="5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37,0</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23" w:type="pct"/>
          </w:tcPr>
          <w:p w:rsidR="00D7313E" w:rsidRPr="0053759F" w:rsidRDefault="00D7313E" w:rsidP="00023055">
            <w:pPr>
              <w:spacing w:before="60" w:after="60"/>
              <w:rPr>
                <w:rFonts w:ascii="Arial" w:hAnsi="Arial" w:cs="Arial"/>
                <w:sz w:val="18"/>
                <w:szCs w:val="18"/>
              </w:rPr>
            </w:pPr>
            <w:r w:rsidRPr="0053759F">
              <w:rPr>
                <w:rFonts w:ascii="Arial" w:hAnsi="Arial" w:cs="Arial"/>
                <w:sz w:val="18"/>
                <w:szCs w:val="18"/>
              </w:rPr>
              <w:t>1989 (на 12 января)</w:t>
            </w:r>
          </w:p>
        </w:tc>
        <w:tc>
          <w:tcPr>
            <w:tcW w:w="755" w:type="pct"/>
          </w:tcPr>
          <w:p w:rsidR="00D7313E" w:rsidRPr="0053759F" w:rsidRDefault="00D7313E" w:rsidP="00023055">
            <w:pPr>
              <w:spacing w:before="60" w:after="60"/>
              <w:ind w:right="844"/>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1396,2</w:t>
            </w:r>
          </w:p>
        </w:tc>
        <w:tc>
          <w:tcPr>
            <w:cnfStyle w:val="000010000000" w:firstRow="0" w:lastRow="0" w:firstColumn="0" w:lastColumn="0" w:oddVBand="1" w:evenVBand="0" w:oddHBand="0" w:evenHBand="0" w:firstRowFirstColumn="0" w:firstRowLastColumn="0" w:lastRowFirstColumn="0" w:lastRowLastColumn="0"/>
            <w:tcW w:w="822" w:type="pct"/>
          </w:tcPr>
          <w:p w:rsidR="00D7313E" w:rsidRPr="0053759F" w:rsidRDefault="00D7313E" w:rsidP="00023055">
            <w:pPr>
              <w:spacing w:before="60" w:after="60"/>
              <w:ind w:right="823"/>
              <w:jc w:val="right"/>
              <w:rPr>
                <w:rFonts w:ascii="Arial" w:hAnsi="Arial" w:cs="Arial"/>
                <w:sz w:val="18"/>
                <w:szCs w:val="18"/>
              </w:rPr>
            </w:pPr>
            <w:r w:rsidRPr="0053759F">
              <w:rPr>
                <w:rFonts w:ascii="Arial" w:hAnsi="Arial" w:cs="Arial"/>
                <w:sz w:val="18"/>
                <w:szCs w:val="18"/>
              </w:rPr>
              <w:t>995,3</w:t>
            </w:r>
          </w:p>
        </w:tc>
        <w:tc>
          <w:tcPr>
            <w:tcW w:w="821" w:type="pct"/>
          </w:tcPr>
          <w:p w:rsidR="00D7313E" w:rsidRPr="0053759F" w:rsidRDefault="00D7313E" w:rsidP="00023055">
            <w:pPr>
              <w:spacing w:before="60" w:after="60"/>
              <w:ind w:right="82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400,9</w:t>
            </w:r>
          </w:p>
        </w:tc>
        <w:tc>
          <w:tcPr>
            <w:cnfStyle w:val="000010000000" w:firstRow="0" w:lastRow="0" w:firstColumn="0" w:lastColumn="0" w:oddVBand="1" w:evenVBand="0" w:oddHBand="0" w:evenHBand="0" w:firstRowFirstColumn="0" w:firstRowLastColumn="0" w:lastRowFirstColumn="0" w:lastRowLastColumn="0"/>
            <w:tcW w:w="639" w:type="pct"/>
          </w:tcPr>
          <w:p w:rsidR="00D7313E" w:rsidRPr="0053759F" w:rsidRDefault="00D7313E" w:rsidP="00023055">
            <w:pPr>
              <w:spacing w:before="60" w:after="60"/>
              <w:ind w:right="557"/>
              <w:jc w:val="right"/>
              <w:rPr>
                <w:rFonts w:ascii="Arial" w:hAnsi="Arial" w:cs="Arial"/>
                <w:sz w:val="18"/>
                <w:szCs w:val="18"/>
              </w:rPr>
            </w:pPr>
            <w:r w:rsidRPr="0053759F">
              <w:rPr>
                <w:rFonts w:ascii="Arial" w:hAnsi="Arial" w:cs="Arial"/>
                <w:sz w:val="18"/>
                <w:szCs w:val="18"/>
              </w:rPr>
              <w:t>71,3</w:t>
            </w:r>
          </w:p>
        </w:tc>
        <w:tc>
          <w:tcPr>
            <w:tcW w:w="639" w:type="pct"/>
          </w:tcPr>
          <w:p w:rsidR="00D7313E" w:rsidRPr="0053759F" w:rsidRDefault="00D7313E" w:rsidP="00023055">
            <w:pPr>
              <w:spacing w:before="60" w:after="60"/>
              <w:ind w:right="5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28,7</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1323" w:type="pct"/>
          </w:tcPr>
          <w:p w:rsidR="00D7313E" w:rsidRPr="0053759F" w:rsidRDefault="00D7313E" w:rsidP="00023055">
            <w:pPr>
              <w:spacing w:before="60" w:after="60"/>
              <w:rPr>
                <w:rFonts w:ascii="Arial" w:hAnsi="Arial" w:cs="Arial"/>
                <w:sz w:val="18"/>
                <w:szCs w:val="18"/>
              </w:rPr>
            </w:pPr>
            <w:r w:rsidRPr="0053759F">
              <w:rPr>
                <w:rFonts w:ascii="Arial" w:hAnsi="Arial" w:cs="Arial"/>
                <w:sz w:val="18"/>
                <w:szCs w:val="18"/>
              </w:rPr>
              <w:t>2002  (на 9 октября)</w:t>
            </w:r>
          </w:p>
        </w:tc>
        <w:tc>
          <w:tcPr>
            <w:tcW w:w="755" w:type="pct"/>
          </w:tcPr>
          <w:p w:rsidR="00D7313E" w:rsidRPr="0053759F" w:rsidRDefault="00D7313E" w:rsidP="00023055">
            <w:pPr>
              <w:spacing w:before="60" w:after="60"/>
              <w:ind w:right="844"/>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1382,8</w:t>
            </w:r>
          </w:p>
        </w:tc>
        <w:tc>
          <w:tcPr>
            <w:cnfStyle w:val="000010000000" w:firstRow="0" w:lastRow="0" w:firstColumn="0" w:lastColumn="0" w:oddVBand="1" w:evenVBand="0" w:oddHBand="0" w:evenHBand="0" w:firstRowFirstColumn="0" w:firstRowLastColumn="0" w:lastRowFirstColumn="0" w:lastRowLastColumn="0"/>
            <w:tcW w:w="822" w:type="pct"/>
          </w:tcPr>
          <w:p w:rsidR="00D7313E" w:rsidRPr="0053759F" w:rsidRDefault="00D7313E" w:rsidP="00023055">
            <w:pPr>
              <w:spacing w:before="60" w:after="60"/>
              <w:ind w:right="823"/>
              <w:jc w:val="right"/>
              <w:rPr>
                <w:rFonts w:ascii="Arial" w:hAnsi="Arial" w:cs="Arial"/>
                <w:sz w:val="18"/>
                <w:szCs w:val="18"/>
              </w:rPr>
            </w:pPr>
            <w:r w:rsidRPr="0053759F">
              <w:rPr>
                <w:rFonts w:ascii="Arial" w:hAnsi="Arial" w:cs="Arial"/>
                <w:sz w:val="18"/>
                <w:szCs w:val="18"/>
              </w:rPr>
              <w:t>1011,6</w:t>
            </w:r>
          </w:p>
        </w:tc>
        <w:tc>
          <w:tcPr>
            <w:tcW w:w="821" w:type="pct"/>
          </w:tcPr>
          <w:p w:rsidR="00D7313E" w:rsidRPr="0053759F" w:rsidRDefault="00D7313E" w:rsidP="00023055">
            <w:pPr>
              <w:spacing w:before="60" w:after="60"/>
              <w:ind w:right="82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371,2</w:t>
            </w:r>
          </w:p>
        </w:tc>
        <w:tc>
          <w:tcPr>
            <w:cnfStyle w:val="000010000000" w:firstRow="0" w:lastRow="0" w:firstColumn="0" w:lastColumn="0" w:oddVBand="1" w:evenVBand="0" w:oddHBand="0" w:evenHBand="0" w:firstRowFirstColumn="0" w:firstRowLastColumn="0" w:lastRowFirstColumn="0" w:lastRowLastColumn="0"/>
            <w:tcW w:w="639" w:type="pct"/>
          </w:tcPr>
          <w:p w:rsidR="00D7313E" w:rsidRPr="0053759F" w:rsidRDefault="00D7313E" w:rsidP="00023055">
            <w:pPr>
              <w:spacing w:before="60" w:after="60"/>
              <w:ind w:right="557"/>
              <w:jc w:val="right"/>
              <w:rPr>
                <w:rFonts w:ascii="Arial" w:hAnsi="Arial" w:cs="Arial"/>
                <w:sz w:val="18"/>
                <w:szCs w:val="18"/>
              </w:rPr>
            </w:pPr>
            <w:r w:rsidRPr="0053759F">
              <w:rPr>
                <w:rFonts w:ascii="Arial" w:hAnsi="Arial" w:cs="Arial"/>
                <w:sz w:val="18"/>
                <w:szCs w:val="18"/>
              </w:rPr>
              <w:t>73,2</w:t>
            </w:r>
          </w:p>
        </w:tc>
        <w:tc>
          <w:tcPr>
            <w:tcW w:w="639" w:type="pct"/>
          </w:tcPr>
          <w:p w:rsidR="00D7313E" w:rsidRPr="0053759F" w:rsidRDefault="00D7313E" w:rsidP="00023055">
            <w:pPr>
              <w:spacing w:before="60" w:after="60"/>
              <w:ind w:right="5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26,8</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23" w:type="pct"/>
          </w:tcPr>
          <w:p w:rsidR="00D7313E" w:rsidRPr="0053759F" w:rsidRDefault="00D7313E" w:rsidP="00023055">
            <w:pPr>
              <w:spacing w:before="60" w:after="60"/>
              <w:rPr>
                <w:rFonts w:ascii="Arial" w:hAnsi="Arial" w:cs="Arial"/>
                <w:sz w:val="18"/>
                <w:szCs w:val="18"/>
                <w:vertAlign w:val="superscript"/>
              </w:rPr>
            </w:pPr>
            <w:r w:rsidRPr="0053759F">
              <w:rPr>
                <w:rFonts w:ascii="Arial" w:hAnsi="Arial" w:cs="Arial"/>
                <w:sz w:val="18"/>
                <w:szCs w:val="18"/>
              </w:rPr>
              <w:t>2010 (на 14 октября)</w:t>
            </w:r>
          </w:p>
        </w:tc>
        <w:tc>
          <w:tcPr>
            <w:tcW w:w="755" w:type="pct"/>
          </w:tcPr>
          <w:p w:rsidR="00D7313E" w:rsidRPr="0053759F" w:rsidRDefault="00D7313E" w:rsidP="00023055">
            <w:pPr>
              <w:spacing w:before="60" w:after="60"/>
              <w:ind w:right="844"/>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1292,8</w:t>
            </w:r>
          </w:p>
        </w:tc>
        <w:tc>
          <w:tcPr>
            <w:cnfStyle w:val="000010000000" w:firstRow="0" w:lastRow="0" w:firstColumn="0" w:lastColumn="0" w:oddVBand="1" w:evenVBand="0" w:oddHBand="0" w:evenHBand="0" w:firstRowFirstColumn="0" w:firstRowLastColumn="0" w:lastRowFirstColumn="0" w:lastRowLastColumn="0"/>
            <w:tcW w:w="822" w:type="pct"/>
          </w:tcPr>
          <w:p w:rsidR="00D7313E" w:rsidRPr="0053759F" w:rsidRDefault="00D7313E" w:rsidP="00023055">
            <w:pPr>
              <w:spacing w:before="60" w:after="60"/>
              <w:ind w:right="823"/>
              <w:jc w:val="right"/>
              <w:rPr>
                <w:rFonts w:ascii="Arial" w:hAnsi="Arial" w:cs="Arial"/>
                <w:sz w:val="18"/>
                <w:szCs w:val="18"/>
              </w:rPr>
            </w:pPr>
            <w:r>
              <w:rPr>
                <w:rFonts w:ascii="Arial" w:hAnsi="Arial" w:cs="Arial"/>
                <w:sz w:val="18"/>
                <w:szCs w:val="18"/>
              </w:rPr>
              <w:t>950,6</w:t>
            </w:r>
          </w:p>
        </w:tc>
        <w:tc>
          <w:tcPr>
            <w:tcW w:w="821" w:type="pct"/>
          </w:tcPr>
          <w:p w:rsidR="00D7313E" w:rsidRPr="0053759F" w:rsidRDefault="00D7313E" w:rsidP="00023055">
            <w:pPr>
              <w:spacing w:before="60" w:after="60"/>
              <w:ind w:right="82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342,2</w:t>
            </w:r>
          </w:p>
        </w:tc>
        <w:tc>
          <w:tcPr>
            <w:cnfStyle w:val="000010000000" w:firstRow="0" w:lastRow="0" w:firstColumn="0" w:lastColumn="0" w:oddVBand="1" w:evenVBand="0" w:oddHBand="0" w:evenHBand="0" w:firstRowFirstColumn="0" w:firstRowLastColumn="0" w:lastRowFirstColumn="0" w:lastRowLastColumn="0"/>
            <w:tcW w:w="639" w:type="pct"/>
          </w:tcPr>
          <w:p w:rsidR="00D7313E" w:rsidRPr="0053759F" w:rsidRDefault="00D7313E" w:rsidP="00023055">
            <w:pPr>
              <w:spacing w:before="60" w:after="60"/>
              <w:ind w:right="557"/>
              <w:jc w:val="right"/>
              <w:rPr>
                <w:rFonts w:ascii="Arial" w:hAnsi="Arial" w:cs="Arial"/>
                <w:sz w:val="18"/>
                <w:szCs w:val="18"/>
              </w:rPr>
            </w:pPr>
            <w:r>
              <w:rPr>
                <w:rFonts w:ascii="Arial" w:hAnsi="Arial" w:cs="Arial"/>
                <w:sz w:val="18"/>
                <w:szCs w:val="18"/>
              </w:rPr>
              <w:t>73,5</w:t>
            </w:r>
          </w:p>
        </w:tc>
        <w:tc>
          <w:tcPr>
            <w:tcW w:w="639" w:type="pct"/>
          </w:tcPr>
          <w:p w:rsidR="00D7313E" w:rsidRPr="0053759F" w:rsidRDefault="00D7313E" w:rsidP="00023055">
            <w:pPr>
              <w:spacing w:before="60" w:after="60"/>
              <w:ind w:right="5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26,5</w:t>
            </w:r>
          </w:p>
        </w:tc>
      </w:tr>
      <w:tr w:rsidR="00D7313E" w:rsidRPr="0053759F" w:rsidTr="00023055">
        <w:tc>
          <w:tcPr>
            <w:cnfStyle w:val="000010000000" w:firstRow="0" w:lastRow="0" w:firstColumn="0" w:lastColumn="0" w:oddVBand="1" w:evenVBand="0" w:oddHBand="0" w:evenHBand="0" w:firstRowFirstColumn="0" w:firstRowLastColumn="0" w:lastRowFirstColumn="0" w:lastRowLastColumn="0"/>
            <w:tcW w:w="1323" w:type="pct"/>
          </w:tcPr>
          <w:p w:rsidR="00D7313E" w:rsidRPr="002A392C" w:rsidRDefault="00D7313E" w:rsidP="00023055">
            <w:pPr>
              <w:spacing w:before="60" w:after="60"/>
              <w:rPr>
                <w:rFonts w:ascii="Arial" w:hAnsi="Arial" w:cs="Arial"/>
                <w:sz w:val="18"/>
                <w:szCs w:val="18"/>
                <w:vertAlign w:val="superscript"/>
                <w:lang w:val="en-US"/>
              </w:rPr>
            </w:pPr>
            <w:r>
              <w:rPr>
                <w:rFonts w:ascii="Arial" w:hAnsi="Arial" w:cs="Arial"/>
                <w:sz w:val="18"/>
                <w:szCs w:val="18"/>
              </w:rPr>
              <w:t>2012 (на 1 января)</w:t>
            </w:r>
            <w:r>
              <w:rPr>
                <w:rFonts w:ascii="Arial" w:hAnsi="Arial" w:cs="Arial"/>
                <w:sz w:val="18"/>
                <w:szCs w:val="18"/>
                <w:vertAlign w:val="superscript"/>
                <w:lang w:val="en-US"/>
              </w:rPr>
              <w:t>1)</w:t>
            </w:r>
          </w:p>
        </w:tc>
        <w:tc>
          <w:tcPr>
            <w:tcW w:w="755" w:type="pct"/>
          </w:tcPr>
          <w:p w:rsidR="00D7313E" w:rsidRDefault="00D7313E" w:rsidP="00023055">
            <w:pPr>
              <w:spacing w:before="60" w:after="60"/>
              <w:ind w:right="844"/>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1282,1</w:t>
            </w:r>
          </w:p>
        </w:tc>
        <w:tc>
          <w:tcPr>
            <w:cnfStyle w:val="000010000000" w:firstRow="0" w:lastRow="0" w:firstColumn="0" w:lastColumn="0" w:oddVBand="1" w:evenVBand="0" w:oddHBand="0" w:evenHBand="0" w:firstRowFirstColumn="0" w:firstRowLastColumn="0" w:lastRowFirstColumn="0" w:lastRowLastColumn="0"/>
            <w:tcW w:w="822" w:type="pct"/>
          </w:tcPr>
          <w:p w:rsidR="00D7313E" w:rsidRDefault="00D7313E" w:rsidP="00023055">
            <w:pPr>
              <w:spacing w:before="60" w:after="60"/>
              <w:ind w:right="823"/>
              <w:jc w:val="right"/>
              <w:rPr>
                <w:rFonts w:ascii="Arial" w:hAnsi="Arial" w:cs="Arial"/>
                <w:sz w:val="18"/>
                <w:szCs w:val="18"/>
              </w:rPr>
            </w:pPr>
            <w:r>
              <w:rPr>
                <w:rFonts w:ascii="Arial" w:hAnsi="Arial" w:cs="Arial"/>
                <w:sz w:val="18"/>
                <w:szCs w:val="18"/>
              </w:rPr>
              <w:t>946,3</w:t>
            </w:r>
          </w:p>
        </w:tc>
        <w:tc>
          <w:tcPr>
            <w:tcW w:w="821" w:type="pct"/>
          </w:tcPr>
          <w:p w:rsidR="00D7313E" w:rsidRDefault="00D7313E" w:rsidP="00023055">
            <w:pPr>
              <w:spacing w:before="60" w:after="60"/>
              <w:ind w:right="82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335,8</w:t>
            </w:r>
          </w:p>
        </w:tc>
        <w:tc>
          <w:tcPr>
            <w:cnfStyle w:val="000010000000" w:firstRow="0" w:lastRow="0" w:firstColumn="0" w:lastColumn="0" w:oddVBand="1" w:evenVBand="0" w:oddHBand="0" w:evenHBand="0" w:firstRowFirstColumn="0" w:firstRowLastColumn="0" w:lastRowFirstColumn="0" w:lastRowLastColumn="0"/>
            <w:tcW w:w="639" w:type="pct"/>
          </w:tcPr>
          <w:p w:rsidR="00D7313E" w:rsidRDefault="00D7313E" w:rsidP="00023055">
            <w:pPr>
              <w:spacing w:before="60" w:after="60"/>
              <w:ind w:right="557"/>
              <w:jc w:val="right"/>
              <w:rPr>
                <w:rFonts w:ascii="Arial" w:hAnsi="Arial" w:cs="Arial"/>
                <w:sz w:val="18"/>
                <w:szCs w:val="18"/>
              </w:rPr>
            </w:pPr>
            <w:r>
              <w:rPr>
                <w:rFonts w:ascii="Arial" w:hAnsi="Arial" w:cs="Arial"/>
                <w:sz w:val="18"/>
                <w:szCs w:val="18"/>
              </w:rPr>
              <w:t>73,8</w:t>
            </w:r>
          </w:p>
        </w:tc>
        <w:tc>
          <w:tcPr>
            <w:tcW w:w="639" w:type="pct"/>
          </w:tcPr>
          <w:p w:rsidR="00D7313E" w:rsidRDefault="00D7313E" w:rsidP="00023055">
            <w:pPr>
              <w:spacing w:before="60" w:after="60"/>
              <w:ind w:right="5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26,2</w:t>
            </w:r>
          </w:p>
        </w:tc>
      </w:tr>
      <w:tr w:rsidR="00D7313E" w:rsidRPr="0053759F" w:rsidTr="0002305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rsidR="00D7313E" w:rsidRDefault="00D7313E" w:rsidP="00023055">
            <w:pPr>
              <w:spacing w:before="20"/>
              <w:rPr>
                <w:rFonts w:ascii="Arial" w:hAnsi="Arial" w:cs="Arial"/>
                <w:sz w:val="18"/>
                <w:szCs w:val="18"/>
              </w:rPr>
            </w:pPr>
            <w:r w:rsidRPr="00294095">
              <w:rPr>
                <w:rFonts w:ascii="Arial" w:hAnsi="Arial" w:cs="Arial"/>
                <w:sz w:val="18"/>
                <w:szCs w:val="18"/>
                <w:vertAlign w:val="superscript"/>
              </w:rPr>
              <w:t>1)</w:t>
            </w:r>
            <w:r w:rsidRPr="004425DB">
              <w:rPr>
                <w:rFonts w:ascii="Arial" w:hAnsi="Arial" w:cs="Arial"/>
                <w:sz w:val="18"/>
                <w:szCs w:val="18"/>
              </w:rPr>
              <w:t>по данным текущего учета</w:t>
            </w:r>
          </w:p>
        </w:tc>
      </w:tr>
    </w:tbl>
    <w:p w:rsidR="00D7313E" w:rsidRDefault="00D7313E" w:rsidP="00D7313E">
      <w:pPr>
        <w:pStyle w:val="1"/>
        <w:rPr>
          <w:rFonts w:cs="Arial"/>
          <w:color w:val="FF0000"/>
          <w:sz w:val="22"/>
        </w:rPr>
      </w:pPr>
    </w:p>
    <w:p w:rsidR="00D7313E" w:rsidRDefault="00D7313E" w:rsidP="00D7313E">
      <w:pPr>
        <w:rPr>
          <w:rFonts w:ascii="Arial" w:hAnsi="Arial" w:cs="Arial"/>
          <w:color w:val="FF0000"/>
          <w:sz w:val="22"/>
        </w:rPr>
      </w:pPr>
    </w:p>
    <w:p w:rsidR="0044009A" w:rsidRPr="001A4EAC" w:rsidRDefault="0044009A" w:rsidP="00D7313E">
      <w:pPr>
        <w:pStyle w:val="1"/>
        <w:rPr>
          <w:color w:val="548DD4" w:themeColor="text2" w:themeTint="99"/>
        </w:rPr>
      </w:pPr>
      <w:bookmarkStart w:id="14" w:name="_Toc309826885"/>
      <w:bookmarkStart w:id="15" w:name="_Toc309826886"/>
      <w:r w:rsidRPr="001A4EAC">
        <w:rPr>
          <w:color w:val="548DD4" w:themeColor="text2" w:themeTint="99"/>
        </w:rPr>
        <w:t>ТРУД</w:t>
      </w:r>
      <w:bookmarkEnd w:id="14"/>
    </w:p>
    <w:p w:rsidR="0044009A" w:rsidRDefault="0044009A" w:rsidP="0044009A">
      <w:pPr>
        <w:rPr>
          <w:rFonts w:ascii="Arial" w:hAnsi="Arial" w:cs="Arial"/>
          <w:sz w:val="22"/>
        </w:rPr>
      </w:pPr>
      <w:r>
        <w:rPr>
          <w:rFonts w:ascii="Arial" w:hAnsi="Arial" w:cs="Arial"/>
          <w:noProof/>
          <w:sz w:val="22"/>
        </w:rPr>
        <w:drawing>
          <wp:anchor distT="0" distB="0" distL="114300" distR="114300" simplePos="0" relativeHeight="251747328" behindDoc="0" locked="0" layoutInCell="1" allowOverlap="1">
            <wp:simplePos x="0" y="0"/>
            <wp:positionH relativeFrom="column">
              <wp:posOffset>102235</wp:posOffset>
            </wp:positionH>
            <wp:positionV relativeFrom="paragraph">
              <wp:posOffset>67945</wp:posOffset>
            </wp:positionV>
            <wp:extent cx="1951990" cy="1294130"/>
            <wp:effectExtent l="19050" t="0" r="0" b="0"/>
            <wp:wrapSquare wrapText="bothSides"/>
            <wp:docPr id="46" name="Рисунок 39" descr="рабо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боta.jpeg"/>
                    <pic:cNvPicPr/>
                  </pic:nvPicPr>
                  <pic:blipFill>
                    <a:blip r:embed="rId28" cstate="print"/>
                    <a:stretch>
                      <a:fillRect/>
                    </a:stretch>
                  </pic:blipFill>
                  <pic:spPr>
                    <a:xfrm>
                      <a:off x="0" y="0"/>
                      <a:ext cx="1951990" cy="1294130"/>
                    </a:xfrm>
                    <a:prstGeom prst="rect">
                      <a:avLst/>
                    </a:prstGeom>
                    <a:ln>
                      <a:noFill/>
                    </a:ln>
                    <a:effectLst>
                      <a:softEdge rad="112500"/>
                    </a:effectLst>
                  </pic:spPr>
                </pic:pic>
              </a:graphicData>
            </a:graphic>
          </wp:anchor>
        </w:drawing>
      </w:r>
    </w:p>
    <w:p w:rsidR="0044009A" w:rsidRDefault="0044009A" w:rsidP="0044009A">
      <w:pPr>
        <w:jc w:val="both"/>
        <w:rPr>
          <w:rFonts w:ascii="Arial" w:hAnsi="Arial" w:cs="Arial"/>
          <w:sz w:val="22"/>
          <w:szCs w:val="22"/>
        </w:rPr>
      </w:pPr>
      <w:r>
        <w:rPr>
          <w:rFonts w:ascii="Arial" w:hAnsi="Arial" w:cs="Arial"/>
          <w:sz w:val="22"/>
          <w:szCs w:val="22"/>
        </w:rPr>
        <w:t>Постоянный рост численности занятого населения в экономике области (по балансу затрат труда), наблюдался до 1990 года и достиг максимума – 731,0 тысячи человек. С началом проведения реформ занятость начала сокращаться и в 2011 году составила 605,3 тысячи человек (уменьшение против 1990 года на 17,2%).</w:t>
      </w:r>
    </w:p>
    <w:p w:rsidR="0044009A" w:rsidRDefault="0044009A" w:rsidP="0044009A">
      <w:pPr>
        <w:ind w:firstLine="709"/>
        <w:jc w:val="both"/>
        <w:rPr>
          <w:rFonts w:ascii="Arial" w:hAnsi="Arial" w:cs="Arial"/>
          <w:sz w:val="22"/>
          <w:szCs w:val="22"/>
        </w:rPr>
      </w:pPr>
      <w:r>
        <w:rPr>
          <w:rFonts w:ascii="Arial" w:hAnsi="Arial" w:cs="Arial"/>
          <w:sz w:val="22"/>
          <w:szCs w:val="22"/>
        </w:rPr>
        <w:t>В структуре численности занятых по видам экономической деятельности за 2011 год почти 23,3 процента составляли работники обрабатывающих производств, 13,6 процента –  сельского хозяйства, 13,3 процента - оптовой и розничной торговли, 8,3 – образования и  5,8 –  строительства.</w:t>
      </w:r>
    </w:p>
    <w:p w:rsidR="0044009A" w:rsidRDefault="0044009A" w:rsidP="0044009A">
      <w:pPr>
        <w:rPr>
          <w:rFonts w:ascii="Arial" w:hAnsi="Arial" w:cs="Arial"/>
          <w:sz w:val="22"/>
          <w:szCs w:val="22"/>
        </w:rPr>
      </w:pPr>
    </w:p>
    <w:p w:rsidR="0044009A" w:rsidRDefault="0044009A" w:rsidP="0044009A">
      <w:pPr>
        <w:pStyle w:val="8"/>
        <w:rPr>
          <w:sz w:val="22"/>
          <w:szCs w:val="22"/>
        </w:rPr>
      </w:pPr>
    </w:p>
    <w:p w:rsidR="0044009A" w:rsidRDefault="0044009A" w:rsidP="0044009A">
      <w:pPr>
        <w:pStyle w:val="8"/>
        <w:rPr>
          <w:sz w:val="22"/>
          <w:szCs w:val="22"/>
          <w:vertAlign w:val="superscript"/>
        </w:rPr>
      </w:pPr>
      <w:r>
        <w:rPr>
          <w:sz w:val="22"/>
          <w:szCs w:val="22"/>
        </w:rPr>
        <w:t>СТРУКТУРА  ЭКОНОМИЧЕСКИ  АКТИВНОГО  НАСЕЛЕНИЯ</w:t>
      </w:r>
    </w:p>
    <w:p w:rsidR="0044009A" w:rsidRDefault="0044009A" w:rsidP="0044009A">
      <w:pPr>
        <w:ind w:firstLine="142"/>
        <w:jc w:val="center"/>
        <w:rPr>
          <w:rFonts w:ascii="Arial" w:hAnsi="Arial" w:cs="Arial"/>
          <w:sz w:val="22"/>
          <w:szCs w:val="22"/>
        </w:rPr>
      </w:pPr>
      <w:r>
        <w:rPr>
          <w:rFonts w:ascii="Arial" w:hAnsi="Arial" w:cs="Arial"/>
          <w:sz w:val="22"/>
          <w:szCs w:val="22"/>
        </w:rPr>
        <w:t xml:space="preserve">(по результатам выборочного обследования населения по проблемам занятости; </w:t>
      </w:r>
      <w:r>
        <w:rPr>
          <w:rFonts w:ascii="Arial" w:hAnsi="Arial" w:cs="Arial"/>
          <w:sz w:val="22"/>
          <w:szCs w:val="22"/>
        </w:rPr>
        <w:br/>
        <w:t>в процентах к экономически активному населению)</w:t>
      </w:r>
    </w:p>
    <w:p w:rsidR="0044009A" w:rsidRDefault="0044009A" w:rsidP="0044009A">
      <w:pPr>
        <w:ind w:firstLine="142"/>
        <w:jc w:val="center"/>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r>
        <w:rPr>
          <w:rFonts w:cs="Arial"/>
          <w:noProof/>
          <w:sz w:val="22"/>
          <w:szCs w:val="22"/>
          <w:vertAlign w:val="superscript"/>
        </w:rPr>
        <w:drawing>
          <wp:anchor distT="0" distB="0" distL="114300" distR="114300" simplePos="0" relativeHeight="251745280" behindDoc="0" locked="0" layoutInCell="1" allowOverlap="1">
            <wp:simplePos x="0" y="0"/>
            <wp:positionH relativeFrom="column">
              <wp:posOffset>-58857</wp:posOffset>
            </wp:positionH>
            <wp:positionV relativeFrom="paragraph">
              <wp:posOffset>1295</wp:posOffset>
            </wp:positionV>
            <wp:extent cx="9162481" cy="3422254"/>
            <wp:effectExtent l="38100" t="19050" r="19619" b="6746"/>
            <wp:wrapNone/>
            <wp:docPr id="47" name="Объект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Default="0044009A" w:rsidP="0044009A">
      <w:pPr>
        <w:pStyle w:val="22"/>
        <w:spacing w:line="240" w:lineRule="auto"/>
        <w:ind w:left="142" w:right="-114" w:hanging="142"/>
        <w:rPr>
          <w:rFonts w:cs="Arial"/>
          <w:sz w:val="22"/>
          <w:szCs w:val="22"/>
          <w:vertAlign w:val="superscript"/>
        </w:rPr>
      </w:pPr>
    </w:p>
    <w:p w:rsidR="0044009A" w:rsidRPr="000C3463" w:rsidRDefault="0044009A" w:rsidP="0044009A">
      <w:pPr>
        <w:rPr>
          <w:rFonts w:ascii="Arial" w:hAnsi="Arial" w:cs="Arial"/>
          <w:sz w:val="22"/>
          <w:szCs w:val="22"/>
        </w:rPr>
      </w:pPr>
      <w:r w:rsidRPr="000C3463">
        <w:rPr>
          <w:rFonts w:ascii="Arial" w:hAnsi="Arial" w:cs="Arial"/>
          <w:sz w:val="22"/>
          <w:szCs w:val="22"/>
        </w:rPr>
        <w:br w:type="page"/>
      </w:r>
    </w:p>
    <w:p w:rsidR="0044009A" w:rsidRDefault="0044009A" w:rsidP="0044009A">
      <w:pPr>
        <w:ind w:firstLine="709"/>
        <w:jc w:val="both"/>
        <w:rPr>
          <w:rFonts w:ascii="Arial" w:hAnsi="Arial" w:cs="Arial"/>
          <w:sz w:val="22"/>
          <w:szCs w:val="22"/>
        </w:rPr>
      </w:pPr>
      <w:proofErr w:type="gramStart"/>
      <w:r>
        <w:rPr>
          <w:rFonts w:ascii="Arial" w:hAnsi="Arial" w:cs="Arial"/>
          <w:sz w:val="22"/>
          <w:szCs w:val="22"/>
          <w:lang w:val="en-US"/>
        </w:rPr>
        <w:lastRenderedPageBreak/>
        <w:t>C</w:t>
      </w:r>
      <w:r>
        <w:rPr>
          <w:rFonts w:ascii="Arial" w:hAnsi="Arial" w:cs="Arial"/>
          <w:sz w:val="22"/>
          <w:szCs w:val="22"/>
        </w:rPr>
        <w:t xml:space="preserve"> 1992 года государственная служба занятости населения рассчитывает официальный уровень безработицы (удельный вес чи</w:t>
      </w:r>
      <w:r>
        <w:rPr>
          <w:rFonts w:ascii="Arial" w:hAnsi="Arial" w:cs="Arial"/>
          <w:sz w:val="22"/>
          <w:szCs w:val="22"/>
        </w:rPr>
        <w:t>с</w:t>
      </w:r>
      <w:r>
        <w:rPr>
          <w:rFonts w:ascii="Arial" w:hAnsi="Arial" w:cs="Arial"/>
          <w:sz w:val="22"/>
          <w:szCs w:val="22"/>
        </w:rPr>
        <w:t>ленности безработных, зарегистрированных в государственной службе занятости, в общей численности экономически активного насел</w:t>
      </w:r>
      <w:r>
        <w:rPr>
          <w:rFonts w:ascii="Arial" w:hAnsi="Arial" w:cs="Arial"/>
          <w:sz w:val="22"/>
          <w:szCs w:val="22"/>
        </w:rPr>
        <w:t>е</w:t>
      </w:r>
      <w:r>
        <w:rPr>
          <w:rFonts w:ascii="Arial" w:hAnsi="Arial" w:cs="Arial"/>
          <w:sz w:val="22"/>
          <w:szCs w:val="22"/>
        </w:rPr>
        <w:t>ния).</w:t>
      </w:r>
      <w:proofErr w:type="gramEnd"/>
    </w:p>
    <w:p w:rsidR="0044009A" w:rsidRDefault="0044009A" w:rsidP="0044009A">
      <w:pPr>
        <w:pStyle w:val="22"/>
        <w:spacing w:line="240" w:lineRule="auto"/>
        <w:rPr>
          <w:rFonts w:cs="Arial"/>
          <w:sz w:val="22"/>
          <w:szCs w:val="22"/>
        </w:rPr>
      </w:pPr>
      <w:r>
        <w:rPr>
          <w:rFonts w:cs="Arial"/>
          <w:sz w:val="22"/>
          <w:szCs w:val="22"/>
        </w:rPr>
        <w:t>Информация об общей безработице формируется на основе выборочного обследования населения по проблемам занятости.</w:t>
      </w:r>
    </w:p>
    <w:p w:rsidR="0044009A" w:rsidRPr="00D11B65" w:rsidRDefault="0044009A" w:rsidP="0044009A">
      <w:pPr>
        <w:pStyle w:val="8"/>
        <w:rPr>
          <w:sz w:val="22"/>
          <w:szCs w:val="22"/>
        </w:rPr>
      </w:pPr>
    </w:p>
    <w:p w:rsidR="0044009A" w:rsidRDefault="0044009A" w:rsidP="0044009A">
      <w:pPr>
        <w:pStyle w:val="8"/>
        <w:rPr>
          <w:sz w:val="22"/>
          <w:szCs w:val="22"/>
        </w:rPr>
      </w:pPr>
      <w:r>
        <w:rPr>
          <w:sz w:val="22"/>
          <w:szCs w:val="22"/>
        </w:rPr>
        <w:t>УРОВЕНЬ ОБЩЕЙ И ЗАРЕГИСТРИРОВАННОЙ БЕЗРАБОТИЦЫ</w:t>
      </w:r>
    </w:p>
    <w:p w:rsidR="0044009A" w:rsidRDefault="0044009A" w:rsidP="0044009A">
      <w:pPr>
        <w:jc w:val="center"/>
        <w:rPr>
          <w:rFonts w:ascii="Arial" w:hAnsi="Arial" w:cs="Arial"/>
          <w:sz w:val="22"/>
          <w:szCs w:val="22"/>
        </w:rPr>
      </w:pPr>
      <w:proofErr w:type="gramStart"/>
      <w:r>
        <w:rPr>
          <w:rFonts w:ascii="Arial" w:hAnsi="Arial" w:cs="Arial"/>
          <w:sz w:val="22"/>
          <w:szCs w:val="22"/>
        </w:rPr>
        <w:t>(на конец года, в % от экономически активного населения)</w:t>
      </w:r>
      <w:proofErr w:type="gramEnd"/>
    </w:p>
    <w:p w:rsidR="0044009A" w:rsidRDefault="0044009A" w:rsidP="0044009A">
      <w:pPr>
        <w:rPr>
          <w:rFonts w:ascii="Arial" w:hAnsi="Arial"/>
          <w:b/>
          <w:i/>
          <w:caps/>
          <w:kern w:val="28"/>
          <w:sz w:val="24"/>
        </w:rPr>
      </w:pPr>
      <w:r>
        <w:rPr>
          <w:noProof/>
        </w:rPr>
        <w:drawing>
          <wp:anchor distT="0" distB="0" distL="114300" distR="114300" simplePos="0" relativeHeight="251746304" behindDoc="0" locked="0" layoutInCell="1" allowOverlap="1">
            <wp:simplePos x="0" y="0"/>
            <wp:positionH relativeFrom="column">
              <wp:posOffset>137795</wp:posOffset>
            </wp:positionH>
            <wp:positionV relativeFrom="paragraph">
              <wp:posOffset>157480</wp:posOffset>
            </wp:positionV>
            <wp:extent cx="8947150" cy="3441700"/>
            <wp:effectExtent l="38100" t="19050" r="25400" b="6350"/>
            <wp:wrapTopAndBottom/>
            <wp:docPr id="51" name="Объект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44009A" w:rsidRDefault="0044009A">
      <w:pPr>
        <w:rPr>
          <w:rFonts w:ascii="Arial" w:hAnsi="Arial"/>
          <w:b/>
          <w:i/>
          <w:caps/>
          <w:color w:val="548DD4" w:themeColor="text2" w:themeTint="99"/>
          <w:kern w:val="28"/>
          <w:sz w:val="24"/>
        </w:rPr>
      </w:pPr>
      <w:r>
        <w:rPr>
          <w:color w:val="548DD4" w:themeColor="text2" w:themeTint="99"/>
        </w:rPr>
        <w:br w:type="page"/>
      </w:r>
    </w:p>
    <w:p w:rsidR="00A97E1C" w:rsidRPr="00B37742" w:rsidRDefault="0002306A" w:rsidP="0044009A">
      <w:pPr>
        <w:pStyle w:val="1"/>
        <w:rPr>
          <w:color w:val="548DD4" w:themeColor="text2" w:themeTint="99"/>
        </w:rPr>
      </w:pPr>
      <w:r w:rsidRPr="00B37742">
        <w:rPr>
          <w:color w:val="548DD4" w:themeColor="text2" w:themeTint="99"/>
        </w:rPr>
        <w:lastRenderedPageBreak/>
        <w:t>ДЕНЕЖНЫЕ  ДОХОДЫ  И  РАСХОДЫ НАСЕЛЕНИЯ</w:t>
      </w:r>
      <w:bookmarkEnd w:id="15"/>
    </w:p>
    <w:p w:rsidR="00A97E1C" w:rsidRPr="000546FE" w:rsidRDefault="00B37742">
      <w:pPr>
        <w:pStyle w:val="a5"/>
        <w:tabs>
          <w:tab w:val="clear" w:pos="4153"/>
          <w:tab w:val="clear" w:pos="8306"/>
        </w:tabs>
        <w:rPr>
          <w:rFonts w:ascii="Arial" w:hAnsi="Arial" w:cs="Arial"/>
          <w:sz w:val="22"/>
          <w:szCs w:val="22"/>
        </w:rPr>
      </w:pPr>
      <w:r>
        <w:rPr>
          <w:rFonts w:ascii="Arial" w:hAnsi="Arial" w:cs="Arial"/>
          <w:noProof/>
          <w:sz w:val="22"/>
          <w:szCs w:val="22"/>
        </w:rPr>
        <w:drawing>
          <wp:anchor distT="0" distB="0" distL="114300" distR="114300" simplePos="0" relativeHeight="251706368" behindDoc="1" locked="0" layoutInCell="1" allowOverlap="1">
            <wp:simplePos x="0" y="0"/>
            <wp:positionH relativeFrom="column">
              <wp:posOffset>43180</wp:posOffset>
            </wp:positionH>
            <wp:positionV relativeFrom="paragraph">
              <wp:posOffset>43815</wp:posOffset>
            </wp:positionV>
            <wp:extent cx="1016635" cy="901065"/>
            <wp:effectExtent l="19050" t="0" r="0" b="0"/>
            <wp:wrapTight wrapText="bothSides">
              <wp:wrapPolygon edited="0">
                <wp:start x="-405" y="0"/>
                <wp:lineTo x="-405" y="21006"/>
                <wp:lineTo x="21452" y="21006"/>
                <wp:lineTo x="21452" y="0"/>
                <wp:lineTo x="-405" y="0"/>
              </wp:wrapPolygon>
            </wp:wrapTight>
            <wp:docPr id="41" name="Рисунок 40" descr="ден_дох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_доходы.jpg"/>
                    <pic:cNvPicPr/>
                  </pic:nvPicPr>
                  <pic:blipFill>
                    <a:blip r:embed="rId31"/>
                    <a:stretch>
                      <a:fillRect/>
                    </a:stretch>
                  </pic:blipFill>
                  <pic:spPr>
                    <a:xfrm>
                      <a:off x="0" y="0"/>
                      <a:ext cx="1016635" cy="901065"/>
                    </a:xfrm>
                    <a:prstGeom prst="rect">
                      <a:avLst/>
                    </a:prstGeom>
                  </pic:spPr>
                </pic:pic>
              </a:graphicData>
            </a:graphic>
          </wp:anchor>
        </w:drawing>
      </w:r>
    </w:p>
    <w:p w:rsidR="0044009A" w:rsidRDefault="0044009A" w:rsidP="0044009A">
      <w:pPr>
        <w:pStyle w:val="22"/>
        <w:spacing w:line="240" w:lineRule="auto"/>
        <w:ind w:firstLine="0"/>
        <w:rPr>
          <w:rFonts w:cs="Arial"/>
          <w:sz w:val="22"/>
          <w:szCs w:val="22"/>
        </w:rPr>
      </w:pPr>
      <w:bookmarkStart w:id="16" w:name="_Toc309826887"/>
      <w:r w:rsidRPr="000546FE">
        <w:rPr>
          <w:rFonts w:cs="Arial"/>
          <w:sz w:val="22"/>
          <w:szCs w:val="22"/>
        </w:rPr>
        <w:t>Денежные доходы населения  являются одним из важнейших показателей, характеризующим уровень жизни насел</w:t>
      </w:r>
      <w:r w:rsidRPr="000546FE">
        <w:rPr>
          <w:rFonts w:cs="Arial"/>
          <w:sz w:val="22"/>
          <w:szCs w:val="22"/>
        </w:rPr>
        <w:t>е</w:t>
      </w:r>
      <w:r w:rsidRPr="000546FE">
        <w:rPr>
          <w:rFonts w:cs="Arial"/>
          <w:sz w:val="22"/>
          <w:szCs w:val="22"/>
        </w:rPr>
        <w:t>ния. За период с 1955 года номинальные денежные доходы населения выро</w:t>
      </w:r>
      <w:r>
        <w:rPr>
          <w:rFonts w:cs="Arial"/>
          <w:sz w:val="22"/>
          <w:szCs w:val="22"/>
        </w:rPr>
        <w:t>сли на несколько порядков (в 737</w:t>
      </w:r>
      <w:r w:rsidRPr="000546FE">
        <w:rPr>
          <w:rFonts w:cs="Arial"/>
          <w:sz w:val="22"/>
          <w:szCs w:val="22"/>
        </w:rPr>
        <w:t xml:space="preserve"> раз). Но реальные денежные доходы населени</w:t>
      </w:r>
      <w:r>
        <w:rPr>
          <w:rFonts w:cs="Arial"/>
          <w:sz w:val="22"/>
          <w:szCs w:val="22"/>
        </w:rPr>
        <w:t>я за период с 1970 года  по 2011</w:t>
      </w:r>
      <w:r w:rsidRPr="000546FE">
        <w:rPr>
          <w:rFonts w:cs="Arial"/>
          <w:sz w:val="22"/>
          <w:szCs w:val="22"/>
        </w:rPr>
        <w:t xml:space="preserve"> год возросли</w:t>
      </w:r>
      <w:r>
        <w:rPr>
          <w:rFonts w:cs="Arial"/>
          <w:sz w:val="22"/>
          <w:szCs w:val="22"/>
        </w:rPr>
        <w:t xml:space="preserve"> почти</w:t>
      </w:r>
      <w:r w:rsidRPr="000546FE">
        <w:rPr>
          <w:rFonts w:cs="Arial"/>
          <w:sz w:val="22"/>
          <w:szCs w:val="22"/>
        </w:rPr>
        <w:t xml:space="preserve"> в 3,0 раза, а к уровню 1990 года составили 113,0%.</w:t>
      </w:r>
    </w:p>
    <w:p w:rsidR="0044009A" w:rsidRPr="000546FE" w:rsidRDefault="0044009A" w:rsidP="0044009A">
      <w:pPr>
        <w:pStyle w:val="22"/>
        <w:spacing w:line="240" w:lineRule="auto"/>
        <w:ind w:firstLine="0"/>
        <w:rPr>
          <w:rFonts w:cs="Arial"/>
          <w:sz w:val="22"/>
          <w:szCs w:val="22"/>
        </w:rPr>
      </w:pPr>
    </w:p>
    <w:p w:rsidR="0044009A" w:rsidRPr="00221D60" w:rsidRDefault="0044009A" w:rsidP="0044009A">
      <w:pPr>
        <w:pStyle w:val="35"/>
      </w:pPr>
      <w:r w:rsidRPr="00221D60">
        <w:t>ДИНАМИКА  ДЕНЕЖНЫХ  ДОХОДОВ  И  РАСХОДОВ НАСЕЛЕНИЯ</w:t>
      </w:r>
    </w:p>
    <w:p w:rsidR="0044009A" w:rsidRPr="00221D60" w:rsidRDefault="0044009A" w:rsidP="0044009A">
      <w:pPr>
        <w:ind w:left="284" w:hanging="284"/>
        <w:jc w:val="center"/>
        <w:rPr>
          <w:rFonts w:ascii="Arial" w:hAnsi="Arial" w:cs="Arial"/>
        </w:rPr>
      </w:pPr>
      <w:r w:rsidRPr="00221D60">
        <w:rPr>
          <w:rFonts w:ascii="Arial" w:hAnsi="Arial" w:cs="Arial"/>
        </w:rPr>
        <w:t>(млн. рублей)</w:t>
      </w:r>
    </w:p>
    <w:tbl>
      <w:tblPr>
        <w:tblStyle w:val="-11"/>
        <w:tblW w:w="5000" w:type="pct"/>
        <w:tblLook w:val="0000" w:firstRow="0" w:lastRow="0" w:firstColumn="0" w:lastColumn="0" w:noHBand="0" w:noVBand="0"/>
      </w:tblPr>
      <w:tblGrid>
        <w:gridCol w:w="2292"/>
        <w:gridCol w:w="1111"/>
        <w:gridCol w:w="1111"/>
        <w:gridCol w:w="1111"/>
        <w:gridCol w:w="1111"/>
        <w:gridCol w:w="1111"/>
        <w:gridCol w:w="1111"/>
        <w:gridCol w:w="1111"/>
        <w:gridCol w:w="1111"/>
        <w:gridCol w:w="1111"/>
        <w:gridCol w:w="1111"/>
        <w:gridCol w:w="1102"/>
      </w:tblGrid>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p>
        </w:tc>
        <w:tc>
          <w:tcPr>
            <w:tcW w:w="383" w:type="pct"/>
            <w:shd w:val="clear" w:color="auto" w:fill="C6D9F1" w:themeFill="text2" w:themeFillTint="33"/>
          </w:tcPr>
          <w:p w:rsidR="0044009A" w:rsidRPr="00791D0A"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1955</w:t>
            </w:r>
          </w:p>
        </w:tc>
        <w:tc>
          <w:tcPr>
            <w:cnfStyle w:val="000010000000" w:firstRow="0" w:lastRow="0" w:firstColumn="0" w:lastColumn="0" w:oddVBand="1" w:evenVBand="0" w:oddHBand="0" w:evenHBand="0" w:firstRowFirstColumn="0" w:firstRowLastColumn="0" w:lastRowFirstColumn="0" w:lastRowLastColumn="0"/>
            <w:tcW w:w="383"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1960</w:t>
            </w:r>
          </w:p>
        </w:tc>
        <w:tc>
          <w:tcPr>
            <w:tcW w:w="383"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1965</w:t>
            </w:r>
          </w:p>
        </w:tc>
        <w:tc>
          <w:tcPr>
            <w:cnfStyle w:val="000010000000" w:firstRow="0" w:lastRow="0" w:firstColumn="0" w:lastColumn="0" w:oddVBand="1" w:evenVBand="0" w:oddHBand="0" w:evenHBand="0" w:firstRowFirstColumn="0" w:firstRowLastColumn="0" w:lastRowFirstColumn="0" w:lastRowLastColumn="0"/>
            <w:tcW w:w="383"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1970</w:t>
            </w:r>
          </w:p>
        </w:tc>
        <w:tc>
          <w:tcPr>
            <w:tcW w:w="383"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1975</w:t>
            </w:r>
          </w:p>
        </w:tc>
        <w:tc>
          <w:tcPr>
            <w:cnfStyle w:val="000010000000" w:firstRow="0" w:lastRow="0" w:firstColumn="0" w:lastColumn="0" w:oddVBand="1" w:evenVBand="0" w:oddHBand="0" w:evenHBand="0" w:firstRowFirstColumn="0" w:firstRowLastColumn="0" w:lastRowFirstColumn="0" w:lastRowLastColumn="0"/>
            <w:tcW w:w="383"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1980</w:t>
            </w:r>
          </w:p>
        </w:tc>
        <w:tc>
          <w:tcPr>
            <w:tcW w:w="383"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1985</w:t>
            </w:r>
          </w:p>
        </w:tc>
        <w:tc>
          <w:tcPr>
            <w:cnfStyle w:val="000010000000" w:firstRow="0" w:lastRow="0" w:firstColumn="0" w:lastColumn="0" w:oddVBand="1" w:evenVBand="0" w:oddHBand="0" w:evenHBand="0" w:firstRowFirstColumn="0" w:firstRowLastColumn="0" w:lastRowFirstColumn="0" w:lastRowLastColumn="0"/>
            <w:tcW w:w="383"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1990</w:t>
            </w:r>
          </w:p>
        </w:tc>
        <w:tc>
          <w:tcPr>
            <w:tcW w:w="383"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383" w:type="pct"/>
            <w:shd w:val="clear" w:color="auto" w:fill="C6D9F1" w:themeFill="text2" w:themeFillTint="33"/>
          </w:tcPr>
          <w:p w:rsidR="0044009A" w:rsidRPr="0053759F" w:rsidRDefault="0044009A" w:rsidP="0044009A">
            <w:pPr>
              <w:spacing w:before="60" w:after="60"/>
              <w:jc w:val="center"/>
              <w:rPr>
                <w:rFonts w:ascii="Arial" w:hAnsi="Arial" w:cs="Arial"/>
                <w:sz w:val="18"/>
                <w:szCs w:val="18"/>
                <w:vertAlign w:val="superscript"/>
              </w:rPr>
            </w:pPr>
            <w:r w:rsidRPr="0053759F">
              <w:rPr>
                <w:rFonts w:ascii="Arial" w:hAnsi="Arial" w:cs="Arial"/>
                <w:sz w:val="18"/>
                <w:szCs w:val="18"/>
              </w:rPr>
              <w:t>2010</w:t>
            </w:r>
          </w:p>
        </w:tc>
        <w:tc>
          <w:tcPr>
            <w:tcW w:w="380" w:type="pct"/>
            <w:shd w:val="clear" w:color="auto" w:fill="C6D9F1" w:themeFill="text2" w:themeFillTint="33"/>
          </w:tcPr>
          <w:p w:rsidR="0044009A" w:rsidRPr="00AB1328"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vertAlign w:val="superscript"/>
              </w:rPr>
            </w:pPr>
            <w:r w:rsidRPr="0053759F">
              <w:rPr>
                <w:rFonts w:ascii="Arial" w:hAnsi="Arial" w:cs="Arial"/>
                <w:sz w:val="18"/>
                <w:szCs w:val="18"/>
              </w:rPr>
              <w:t>2011</w:t>
            </w:r>
            <w:r>
              <w:rPr>
                <w:rFonts w:ascii="Arial" w:hAnsi="Arial" w:cs="Arial"/>
                <w:sz w:val="18"/>
                <w:szCs w:val="18"/>
                <w:vertAlign w:val="superscript"/>
              </w:rPr>
              <w:t>2)</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rPr>
                <w:rFonts w:ascii="Arial" w:hAnsi="Arial" w:cs="Arial"/>
                <w:sz w:val="18"/>
                <w:szCs w:val="18"/>
              </w:rPr>
            </w:pPr>
            <w:r w:rsidRPr="0053759F">
              <w:rPr>
                <w:rFonts w:ascii="Arial" w:hAnsi="Arial" w:cs="Arial"/>
                <w:sz w:val="18"/>
                <w:szCs w:val="18"/>
              </w:rPr>
              <w:t>Доходы  всего</w:t>
            </w:r>
          </w:p>
        </w:tc>
        <w:tc>
          <w:tcPr>
            <w:tcW w:w="383" w:type="pct"/>
            <w:vAlign w:val="bottom"/>
          </w:tcPr>
          <w:p w:rsidR="0044009A" w:rsidRPr="00A710BE"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lang w:val="en-US"/>
              </w:rPr>
              <w:t>259</w:t>
            </w:r>
            <w:r>
              <w:rPr>
                <w:rFonts w:ascii="Arial" w:hAnsi="Arial" w:cs="Arial"/>
                <w:sz w:val="18"/>
                <w:szCs w:val="18"/>
              </w:rPr>
              <w:t>,</w:t>
            </w:r>
            <w:r>
              <w:rPr>
                <w:rFonts w:ascii="Arial" w:hAnsi="Arial" w:cs="Arial"/>
                <w:sz w:val="18"/>
                <w:szCs w:val="18"/>
                <w:lang w:val="en-US"/>
              </w:rPr>
              <w:t>97</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368,28</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552,69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920,73</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1309,46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1639,9</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2075,55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3233,46</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21810,9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200737,7</w:t>
            </w:r>
          </w:p>
        </w:tc>
        <w:tc>
          <w:tcPr>
            <w:tcW w:w="380" w:type="pct"/>
            <w:vAlign w:val="bottom"/>
          </w:tcPr>
          <w:p w:rsidR="0044009A" w:rsidRPr="0053759F"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218202,9</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rPr>
                <w:rFonts w:ascii="Arial" w:hAnsi="Arial" w:cs="Arial"/>
                <w:sz w:val="18"/>
                <w:szCs w:val="18"/>
              </w:rPr>
            </w:pPr>
            <w:r w:rsidRPr="0053759F">
              <w:rPr>
                <w:rFonts w:ascii="Arial" w:hAnsi="Arial" w:cs="Arial"/>
                <w:sz w:val="18"/>
                <w:szCs w:val="18"/>
              </w:rPr>
              <w:t>в том числе:</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rPr>
                <w:rFonts w:ascii="Arial" w:hAnsi="Arial" w:cs="Arial"/>
                <w:sz w:val="18"/>
                <w:szCs w:val="18"/>
              </w:rPr>
            </w:pPr>
            <w:r w:rsidRPr="0053759F">
              <w:rPr>
                <w:rFonts w:ascii="Arial" w:hAnsi="Arial" w:cs="Arial"/>
                <w:sz w:val="18"/>
                <w:szCs w:val="18"/>
              </w:rPr>
              <w:t>оплата труда</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205,71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285,80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438,58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736,87</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1040,98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1282,60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1593,98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2232,48</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9150,2</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67779,3</w:t>
            </w:r>
          </w:p>
        </w:tc>
        <w:tc>
          <w:tcPr>
            <w:tcW w:w="380" w:type="pct"/>
            <w:vAlign w:val="bottom"/>
          </w:tcPr>
          <w:p w:rsidR="0044009A" w:rsidRPr="0053759F"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75253,2</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ind w:left="142"/>
              <w:rPr>
                <w:rFonts w:ascii="Arial" w:hAnsi="Arial" w:cs="Arial"/>
                <w:sz w:val="18"/>
                <w:szCs w:val="18"/>
              </w:rPr>
            </w:pPr>
            <w:r w:rsidRPr="0053759F">
              <w:rPr>
                <w:rFonts w:ascii="Arial" w:hAnsi="Arial" w:cs="Arial"/>
                <w:sz w:val="18"/>
                <w:szCs w:val="18"/>
              </w:rPr>
              <w:t xml:space="preserve">социальные  </w:t>
            </w:r>
            <w:proofErr w:type="spellStart"/>
            <w:r w:rsidRPr="0053759F">
              <w:rPr>
                <w:rFonts w:ascii="Arial" w:hAnsi="Arial" w:cs="Arial"/>
                <w:sz w:val="18"/>
                <w:szCs w:val="18"/>
              </w:rPr>
              <w:t>выпаты</w:t>
            </w:r>
            <w:proofErr w:type="spellEnd"/>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23,09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44,92</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67,06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105,11</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159,31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207,7</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282,81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577,28</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3934,6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48050,5</w:t>
            </w: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57012,5</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ind w:left="154"/>
              <w:rPr>
                <w:rFonts w:ascii="Arial" w:hAnsi="Arial" w:cs="Arial"/>
                <w:sz w:val="18"/>
                <w:szCs w:val="18"/>
              </w:rPr>
            </w:pPr>
            <w:r w:rsidRPr="0053759F">
              <w:rPr>
                <w:rFonts w:ascii="Arial" w:hAnsi="Arial" w:cs="Arial"/>
                <w:sz w:val="18"/>
                <w:szCs w:val="18"/>
              </w:rPr>
              <w:t>превышение расходов над доходами</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2,57</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3,54</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7A38F7"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w:t>
            </w:r>
          </w:p>
        </w:tc>
        <w:tc>
          <w:tcPr>
            <w:tcW w:w="380" w:type="pct"/>
            <w:vAlign w:val="bottom"/>
          </w:tcPr>
          <w:p w:rsidR="0044009A" w:rsidRPr="007A38F7"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pStyle w:val="3"/>
              <w:spacing w:beforeLines="20" w:before="48" w:after="100" w:afterAutospacing="1"/>
              <w:outlineLvl w:val="2"/>
              <w:rPr>
                <w:rFonts w:ascii="Arial" w:hAnsi="Arial" w:cs="Arial"/>
                <w:sz w:val="18"/>
                <w:szCs w:val="18"/>
              </w:rPr>
            </w:pPr>
            <w:proofErr w:type="gramStart"/>
            <w:r w:rsidRPr="0053759F">
              <w:rPr>
                <w:rFonts w:ascii="Arial" w:hAnsi="Arial" w:cs="Arial"/>
                <w:sz w:val="18"/>
                <w:szCs w:val="18"/>
              </w:rPr>
              <w:t>Б</w:t>
            </w:r>
            <w:proofErr w:type="gramEnd"/>
            <w:r w:rsidRPr="0053759F">
              <w:rPr>
                <w:rFonts w:ascii="Arial" w:hAnsi="Arial" w:cs="Arial"/>
                <w:sz w:val="18"/>
                <w:szCs w:val="18"/>
              </w:rPr>
              <w:t xml:space="preserve"> А Л А Н С</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259,97</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370,85</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552,69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923,97</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1309,46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1639,9</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2075,55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3233,46</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21810,9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200737,7</w:t>
            </w: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218202,9</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rPr>
                <w:rFonts w:ascii="Arial" w:hAnsi="Arial" w:cs="Arial"/>
                <w:sz w:val="18"/>
                <w:szCs w:val="18"/>
              </w:rPr>
            </w:pPr>
            <w:r w:rsidRPr="0053759F">
              <w:rPr>
                <w:rFonts w:ascii="Arial" w:hAnsi="Arial" w:cs="Arial"/>
                <w:sz w:val="18"/>
                <w:szCs w:val="18"/>
              </w:rPr>
              <w:t>Доходы на душу нас</w:t>
            </w:r>
            <w:r w:rsidRPr="0053759F">
              <w:rPr>
                <w:rFonts w:ascii="Arial" w:hAnsi="Arial" w:cs="Arial"/>
                <w:sz w:val="18"/>
                <w:szCs w:val="18"/>
              </w:rPr>
              <w:t>е</w:t>
            </w:r>
            <w:r w:rsidRPr="0053759F">
              <w:rPr>
                <w:rFonts w:ascii="Arial" w:hAnsi="Arial" w:cs="Arial"/>
                <w:sz w:val="18"/>
                <w:szCs w:val="18"/>
              </w:rPr>
              <w:t>ления (среднемеся</w:t>
            </w:r>
            <w:r w:rsidRPr="0053759F">
              <w:rPr>
                <w:rFonts w:ascii="Arial" w:hAnsi="Arial" w:cs="Arial"/>
                <w:sz w:val="18"/>
                <w:szCs w:val="18"/>
              </w:rPr>
              <w:t>ч</w:t>
            </w:r>
            <w:r w:rsidRPr="0053759F">
              <w:rPr>
                <w:rFonts w:ascii="Arial" w:hAnsi="Arial" w:cs="Arial"/>
                <w:sz w:val="18"/>
                <w:szCs w:val="18"/>
              </w:rPr>
              <w:t xml:space="preserve">ные), рублей </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19,18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27,19</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39,25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62,35</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87,76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107,10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130,67</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189,40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1279,5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12906,7</w:t>
            </w:r>
          </w:p>
        </w:tc>
        <w:tc>
          <w:tcPr>
            <w:tcW w:w="380" w:type="pct"/>
            <w:vAlign w:val="bottom"/>
          </w:tcPr>
          <w:p w:rsidR="0044009A" w:rsidRPr="0053759F"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14136,5</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rPr>
                <w:rFonts w:ascii="Arial" w:hAnsi="Arial" w:cs="Arial"/>
                <w:sz w:val="18"/>
                <w:szCs w:val="18"/>
              </w:rPr>
            </w:pPr>
            <w:r w:rsidRPr="0053759F">
              <w:rPr>
                <w:rFonts w:ascii="Arial" w:hAnsi="Arial" w:cs="Arial"/>
                <w:sz w:val="18"/>
                <w:szCs w:val="18"/>
              </w:rPr>
              <w:t>Среднегодовая  чи</w:t>
            </w:r>
            <w:r w:rsidRPr="0053759F">
              <w:rPr>
                <w:rFonts w:ascii="Arial" w:hAnsi="Arial" w:cs="Arial"/>
                <w:sz w:val="18"/>
                <w:szCs w:val="18"/>
              </w:rPr>
              <w:t>с</w:t>
            </w:r>
            <w:r w:rsidRPr="0053759F">
              <w:rPr>
                <w:rFonts w:ascii="Arial" w:hAnsi="Arial" w:cs="Arial"/>
                <w:sz w:val="18"/>
                <w:szCs w:val="18"/>
              </w:rPr>
              <w:t>ленность постоянного населения, тыс. чел.</w:t>
            </w:r>
          </w:p>
        </w:tc>
        <w:tc>
          <w:tcPr>
            <w:tcW w:w="383" w:type="pct"/>
            <w:vAlign w:val="bottom"/>
          </w:tcPr>
          <w:p w:rsidR="0044009A" w:rsidRPr="0053759F" w:rsidRDefault="0044009A" w:rsidP="00406629">
            <w:pPr>
              <w:spacing w:beforeLines="20" w:before="48" w:after="100" w:afterAutospacing="1"/>
              <w:ind w:left="-57"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1129,8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left="-57" w:right="127"/>
              <w:jc w:val="right"/>
              <w:rPr>
                <w:rFonts w:ascii="Arial" w:hAnsi="Arial" w:cs="Arial"/>
                <w:sz w:val="18"/>
                <w:szCs w:val="18"/>
              </w:rPr>
            </w:pPr>
            <w:r w:rsidRPr="0053759F">
              <w:rPr>
                <w:rFonts w:ascii="Arial" w:hAnsi="Arial" w:cs="Arial"/>
                <w:sz w:val="18"/>
                <w:szCs w:val="18"/>
              </w:rPr>
              <w:t>1128,7</w:t>
            </w:r>
            <w:r w:rsidRPr="0053759F">
              <w:rPr>
                <w:rFonts w:ascii="Arial" w:hAnsi="Arial" w:cs="Arial"/>
                <w:sz w:val="18"/>
                <w:szCs w:val="18"/>
                <w:vertAlign w:val="superscript"/>
              </w:rPr>
              <w:t>1)</w:t>
            </w:r>
          </w:p>
        </w:tc>
        <w:tc>
          <w:tcPr>
            <w:tcW w:w="383" w:type="pct"/>
            <w:vAlign w:val="bottom"/>
          </w:tcPr>
          <w:p w:rsidR="0044009A" w:rsidRPr="0053759F" w:rsidRDefault="0044009A" w:rsidP="00406629">
            <w:pPr>
              <w:spacing w:beforeLines="20" w:before="48" w:after="100" w:afterAutospacing="1"/>
              <w:ind w:left="-57"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1173,5</w:t>
            </w:r>
            <w:r w:rsidRPr="0053759F">
              <w:rPr>
                <w:rFonts w:ascii="Arial" w:hAnsi="Arial" w:cs="Arial"/>
                <w:sz w:val="18"/>
                <w:szCs w:val="18"/>
                <w:vertAlign w:val="superscript"/>
              </w:rPr>
              <w:t>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left="-57" w:right="127"/>
              <w:jc w:val="right"/>
              <w:rPr>
                <w:rFonts w:ascii="Arial" w:hAnsi="Arial" w:cs="Arial"/>
                <w:sz w:val="18"/>
                <w:szCs w:val="18"/>
              </w:rPr>
            </w:pPr>
            <w:r w:rsidRPr="0053759F">
              <w:rPr>
                <w:rFonts w:ascii="Arial" w:hAnsi="Arial" w:cs="Arial"/>
                <w:sz w:val="18"/>
                <w:szCs w:val="18"/>
              </w:rPr>
              <w:t>1230,5</w:t>
            </w:r>
            <w:r w:rsidRPr="0053759F">
              <w:rPr>
                <w:rFonts w:ascii="Arial" w:hAnsi="Arial" w:cs="Arial"/>
                <w:sz w:val="18"/>
                <w:szCs w:val="18"/>
                <w:vertAlign w:val="superscript"/>
              </w:rPr>
              <w:t>1)</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1243,4</w:t>
            </w:r>
            <w:r w:rsidRPr="0053759F">
              <w:rPr>
                <w:rFonts w:ascii="Arial" w:hAnsi="Arial" w:cs="Arial"/>
                <w:sz w:val="18"/>
                <w:szCs w:val="18"/>
                <w:vertAlign w:val="superscript"/>
              </w:rPr>
              <w:t>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1275,5</w:t>
            </w:r>
            <w:r w:rsidRPr="0053759F">
              <w:rPr>
                <w:rFonts w:ascii="Arial" w:hAnsi="Arial" w:cs="Arial"/>
                <w:sz w:val="18"/>
                <w:szCs w:val="18"/>
                <w:vertAlign w:val="superscript"/>
              </w:rPr>
              <w:t>1)</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1324,2</w:t>
            </w:r>
            <w:r w:rsidRPr="0053759F">
              <w:rPr>
                <w:rFonts w:ascii="Arial" w:hAnsi="Arial" w:cs="Arial"/>
                <w:sz w:val="18"/>
                <w:szCs w:val="18"/>
                <w:vertAlign w:val="superscript"/>
              </w:rPr>
              <w:t>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1422,2</w:t>
            </w:r>
            <w:r w:rsidRPr="0053759F">
              <w:rPr>
                <w:rFonts w:ascii="Arial" w:hAnsi="Arial" w:cs="Arial"/>
                <w:sz w:val="18"/>
                <w:szCs w:val="18"/>
                <w:vertAlign w:val="superscript"/>
              </w:rPr>
              <w:t>1)</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1420,5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1296,1</w:t>
            </w: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1286,3</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rPr>
                <w:rFonts w:ascii="Arial" w:hAnsi="Arial" w:cs="Arial"/>
                <w:sz w:val="18"/>
                <w:szCs w:val="18"/>
              </w:rPr>
            </w:pPr>
            <w:r w:rsidRPr="0053759F">
              <w:rPr>
                <w:rFonts w:ascii="Arial" w:hAnsi="Arial" w:cs="Arial"/>
                <w:sz w:val="18"/>
                <w:szCs w:val="18"/>
              </w:rPr>
              <w:t>Расходы  всего</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256,06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370,85</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546,41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923,97</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1258,04</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1554,6</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2012,22</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3163,46</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20639,1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182379,2</w:t>
            </w:r>
          </w:p>
        </w:tc>
        <w:tc>
          <w:tcPr>
            <w:tcW w:w="380" w:type="pct"/>
            <w:vAlign w:val="bottom"/>
          </w:tcPr>
          <w:p w:rsidR="0044009A" w:rsidRPr="0053759F"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202553,9</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rPr>
                <w:rFonts w:ascii="Arial" w:hAnsi="Arial" w:cs="Arial"/>
                <w:sz w:val="18"/>
                <w:szCs w:val="18"/>
              </w:rPr>
            </w:pPr>
            <w:r w:rsidRPr="0053759F">
              <w:rPr>
                <w:rFonts w:ascii="Arial" w:hAnsi="Arial" w:cs="Arial"/>
                <w:sz w:val="18"/>
                <w:szCs w:val="18"/>
              </w:rPr>
              <w:t>в  том  числе:</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ind w:left="142"/>
              <w:rPr>
                <w:rFonts w:ascii="Arial" w:hAnsi="Arial" w:cs="Arial"/>
                <w:sz w:val="18"/>
                <w:szCs w:val="18"/>
              </w:rPr>
            </w:pPr>
            <w:r w:rsidRPr="0053759F">
              <w:rPr>
                <w:rFonts w:ascii="Arial" w:hAnsi="Arial" w:cs="Arial"/>
                <w:sz w:val="18"/>
                <w:szCs w:val="18"/>
              </w:rPr>
              <w:t>покупка  товаров</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191,63</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309,96</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442,84</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718,09</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930,38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1165,70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1498,95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2317,33</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14713,1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106295,3</w:t>
            </w:r>
          </w:p>
        </w:tc>
        <w:tc>
          <w:tcPr>
            <w:tcW w:w="380" w:type="pct"/>
            <w:vAlign w:val="bottom"/>
          </w:tcPr>
          <w:p w:rsidR="0044009A" w:rsidRPr="0053759F"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119965,2</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ind w:left="142"/>
              <w:rPr>
                <w:rFonts w:ascii="Arial" w:hAnsi="Arial" w:cs="Arial"/>
                <w:sz w:val="18"/>
                <w:szCs w:val="18"/>
              </w:rPr>
            </w:pPr>
            <w:r w:rsidRPr="0053759F">
              <w:rPr>
                <w:rFonts w:ascii="Arial" w:hAnsi="Arial" w:cs="Arial"/>
                <w:sz w:val="18"/>
                <w:szCs w:val="18"/>
              </w:rPr>
              <w:t>оплата  услуг</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21,35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29,54</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44,35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67,61</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96,89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128,4</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159,65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218,94</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3236,7</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28460,6</w:t>
            </w: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32132,9</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ind w:left="142"/>
              <w:rPr>
                <w:rFonts w:ascii="Arial" w:hAnsi="Arial" w:cs="Arial"/>
                <w:sz w:val="18"/>
                <w:szCs w:val="18"/>
              </w:rPr>
            </w:pPr>
            <w:r w:rsidRPr="0053759F">
              <w:rPr>
                <w:rFonts w:ascii="Arial" w:hAnsi="Arial" w:cs="Arial"/>
                <w:sz w:val="18"/>
                <w:szCs w:val="18"/>
              </w:rPr>
              <w:t>обязательные плат</w:t>
            </w:r>
            <w:r w:rsidRPr="0053759F">
              <w:rPr>
                <w:rFonts w:ascii="Arial" w:hAnsi="Arial" w:cs="Arial"/>
                <w:sz w:val="18"/>
                <w:szCs w:val="18"/>
              </w:rPr>
              <w:t>е</w:t>
            </w:r>
            <w:r w:rsidRPr="0053759F">
              <w:rPr>
                <w:rFonts w:ascii="Arial" w:hAnsi="Arial" w:cs="Arial"/>
                <w:sz w:val="18"/>
                <w:szCs w:val="18"/>
              </w:rPr>
              <w:t>жи  и разнообразные  взносы</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22,86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21,86</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31,34</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58,41</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89,13</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181,90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240,72</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383,02</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1126,9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16478,3</w:t>
            </w:r>
          </w:p>
        </w:tc>
        <w:tc>
          <w:tcPr>
            <w:tcW w:w="380" w:type="pct"/>
            <w:vAlign w:val="bottom"/>
          </w:tcPr>
          <w:p w:rsidR="0044009A" w:rsidRPr="0053759F"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19432,0</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ind w:left="142"/>
              <w:rPr>
                <w:rFonts w:ascii="Arial" w:hAnsi="Arial" w:cs="Arial"/>
                <w:sz w:val="18"/>
                <w:szCs w:val="18"/>
              </w:rPr>
            </w:pPr>
            <w:r w:rsidRPr="0053759F">
              <w:rPr>
                <w:rFonts w:ascii="Arial" w:hAnsi="Arial" w:cs="Arial"/>
                <w:sz w:val="18"/>
                <w:szCs w:val="18"/>
              </w:rPr>
              <w:t>прирост  сбережений во  вкладах  и ценных бумагах</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13,25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7,11</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14,74</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53,74</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82,00</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65,2</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97,99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244,17</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928,1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17324,3</w:t>
            </w: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9931,6</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spacing w:beforeLines="20" w:before="48" w:after="100" w:afterAutospacing="1"/>
              <w:ind w:left="142"/>
              <w:rPr>
                <w:rFonts w:ascii="Arial" w:hAnsi="Arial" w:cs="Arial"/>
                <w:sz w:val="18"/>
                <w:szCs w:val="18"/>
              </w:rPr>
            </w:pPr>
            <w:r w:rsidRPr="0053759F">
              <w:rPr>
                <w:rFonts w:ascii="Arial" w:hAnsi="Arial" w:cs="Arial"/>
                <w:sz w:val="18"/>
                <w:szCs w:val="18"/>
              </w:rPr>
              <w:t>превышение доходов над расходами</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3,91</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6,28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51,42</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85,30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63,33</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70,00</w:t>
            </w:r>
          </w:p>
        </w:tc>
        <w:tc>
          <w:tcPr>
            <w:tcW w:w="383" w:type="pct"/>
            <w:vAlign w:val="bottom"/>
          </w:tcPr>
          <w:p w:rsidR="0044009A" w:rsidRPr="0053759F" w:rsidRDefault="0044009A" w:rsidP="00406629">
            <w:pPr>
              <w:spacing w:beforeLines="20" w:before="48" w:after="100" w:afterAutospacing="1"/>
              <w:ind w:right="12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1171,8</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18358,5</w:t>
            </w:r>
          </w:p>
        </w:tc>
        <w:tc>
          <w:tcPr>
            <w:tcW w:w="380" w:type="pct"/>
            <w:vAlign w:val="bottom"/>
          </w:tcPr>
          <w:p w:rsidR="0044009A" w:rsidRPr="0053759F" w:rsidRDefault="0044009A" w:rsidP="00406629">
            <w:pPr>
              <w:spacing w:beforeLines="20" w:before="48" w:after="100" w:afterAutospacing="1"/>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15649,0</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90" w:type="pct"/>
          </w:tcPr>
          <w:p w:rsidR="0044009A" w:rsidRPr="0053759F" w:rsidRDefault="0044009A" w:rsidP="00406629">
            <w:pPr>
              <w:pStyle w:val="3"/>
              <w:spacing w:beforeLines="20" w:before="48" w:after="100" w:afterAutospacing="1"/>
              <w:outlineLvl w:val="2"/>
              <w:rPr>
                <w:rFonts w:ascii="Arial" w:hAnsi="Arial" w:cs="Arial"/>
                <w:sz w:val="18"/>
                <w:szCs w:val="18"/>
              </w:rPr>
            </w:pPr>
            <w:proofErr w:type="gramStart"/>
            <w:r w:rsidRPr="0053759F">
              <w:rPr>
                <w:rFonts w:ascii="Arial" w:hAnsi="Arial" w:cs="Arial"/>
                <w:sz w:val="18"/>
                <w:szCs w:val="18"/>
              </w:rPr>
              <w:t>Б</w:t>
            </w:r>
            <w:proofErr w:type="gramEnd"/>
            <w:r w:rsidRPr="0053759F">
              <w:rPr>
                <w:rFonts w:ascii="Arial" w:hAnsi="Arial" w:cs="Arial"/>
                <w:sz w:val="18"/>
                <w:szCs w:val="18"/>
              </w:rPr>
              <w:t xml:space="preserve"> А Л А Н С </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259,97</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370,85</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552,69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923,97</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1309,46</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1639,9</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2075,55</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sidRPr="0053759F">
              <w:rPr>
                <w:rFonts w:ascii="Arial" w:hAnsi="Arial" w:cs="Arial"/>
                <w:sz w:val="18"/>
                <w:szCs w:val="18"/>
              </w:rPr>
              <w:t>3233,46</w:t>
            </w:r>
          </w:p>
        </w:tc>
        <w:tc>
          <w:tcPr>
            <w:tcW w:w="383" w:type="pct"/>
            <w:vAlign w:val="bottom"/>
          </w:tcPr>
          <w:p w:rsidR="0044009A" w:rsidRPr="0053759F" w:rsidRDefault="0044009A" w:rsidP="00406629">
            <w:pPr>
              <w:spacing w:beforeLines="20" w:before="48" w:after="100" w:afterAutospacing="1"/>
              <w:ind w:right="12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21810,9</w:t>
            </w:r>
          </w:p>
        </w:tc>
        <w:tc>
          <w:tcPr>
            <w:cnfStyle w:val="000010000000" w:firstRow="0" w:lastRow="0" w:firstColumn="0" w:lastColumn="0" w:oddVBand="1" w:evenVBand="0" w:oddHBand="0" w:evenHBand="0" w:firstRowFirstColumn="0" w:firstRowLastColumn="0" w:lastRowFirstColumn="0" w:lastRowLastColumn="0"/>
            <w:tcW w:w="383" w:type="pct"/>
            <w:vAlign w:val="bottom"/>
          </w:tcPr>
          <w:p w:rsidR="0044009A" w:rsidRPr="0053759F" w:rsidRDefault="0044009A" w:rsidP="00406629">
            <w:pPr>
              <w:spacing w:beforeLines="20" w:before="48" w:after="100" w:afterAutospacing="1"/>
              <w:ind w:right="127"/>
              <w:jc w:val="right"/>
              <w:rPr>
                <w:rFonts w:ascii="Arial" w:hAnsi="Arial" w:cs="Arial"/>
                <w:sz w:val="18"/>
                <w:szCs w:val="18"/>
              </w:rPr>
            </w:pPr>
            <w:r>
              <w:rPr>
                <w:rFonts w:ascii="Arial" w:hAnsi="Arial" w:cs="Arial"/>
                <w:sz w:val="18"/>
                <w:szCs w:val="18"/>
              </w:rPr>
              <w:t>200737,7</w:t>
            </w:r>
          </w:p>
        </w:tc>
        <w:tc>
          <w:tcPr>
            <w:tcW w:w="380" w:type="pct"/>
            <w:vAlign w:val="bottom"/>
          </w:tcPr>
          <w:p w:rsidR="0044009A" w:rsidRPr="0053759F" w:rsidRDefault="0044009A" w:rsidP="00406629">
            <w:pPr>
              <w:spacing w:beforeLines="20" w:before="48" w:after="100" w:afterAutospacing="1"/>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218202,9</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5000" w:type="pct"/>
            <w:gridSpan w:val="12"/>
          </w:tcPr>
          <w:p w:rsidR="0044009A" w:rsidRDefault="0044009A" w:rsidP="0044009A">
            <w:pPr>
              <w:spacing w:before="60" w:after="60"/>
              <w:rPr>
                <w:rFonts w:ascii="Arial" w:hAnsi="Arial" w:cs="Arial"/>
                <w:sz w:val="18"/>
                <w:szCs w:val="18"/>
              </w:rPr>
            </w:pPr>
            <w:r w:rsidRPr="0053759F">
              <w:rPr>
                <w:rFonts w:ascii="Arial" w:hAnsi="Arial" w:cs="Arial"/>
                <w:sz w:val="18"/>
                <w:szCs w:val="18"/>
                <w:vertAlign w:val="superscript"/>
              </w:rPr>
              <w:t xml:space="preserve">1)  </w:t>
            </w:r>
            <w:proofErr w:type="gramStart"/>
            <w:r w:rsidRPr="0053759F">
              <w:rPr>
                <w:rFonts w:ascii="Arial" w:hAnsi="Arial" w:cs="Arial"/>
                <w:sz w:val="18"/>
                <w:szCs w:val="18"/>
                <w:lang w:val="en-US"/>
              </w:rPr>
              <w:t>C</w:t>
            </w:r>
            <w:proofErr w:type="spellStart"/>
            <w:proofErr w:type="gramEnd"/>
            <w:r w:rsidRPr="0053759F">
              <w:rPr>
                <w:rFonts w:ascii="Arial" w:hAnsi="Arial" w:cs="Arial"/>
                <w:sz w:val="18"/>
                <w:szCs w:val="18"/>
              </w:rPr>
              <w:t>реднегодовая</w:t>
            </w:r>
            <w:proofErr w:type="spellEnd"/>
            <w:r w:rsidRPr="0053759F">
              <w:rPr>
                <w:rFonts w:ascii="Arial" w:hAnsi="Arial" w:cs="Arial"/>
                <w:sz w:val="18"/>
                <w:szCs w:val="18"/>
              </w:rPr>
              <w:t xml:space="preserve"> численность наличного населения</w:t>
            </w:r>
          </w:p>
          <w:p w:rsidR="0044009A" w:rsidRPr="00AB1328" w:rsidRDefault="0044009A" w:rsidP="0044009A">
            <w:pPr>
              <w:spacing w:before="60" w:after="60"/>
              <w:rPr>
                <w:rFonts w:ascii="Arial" w:hAnsi="Arial" w:cs="Arial"/>
                <w:sz w:val="18"/>
                <w:szCs w:val="18"/>
              </w:rPr>
            </w:pPr>
            <w:r>
              <w:rPr>
                <w:rFonts w:ascii="Arial" w:hAnsi="Arial" w:cs="Arial"/>
                <w:sz w:val="18"/>
                <w:szCs w:val="18"/>
                <w:vertAlign w:val="superscript"/>
              </w:rPr>
              <w:t xml:space="preserve">2) </w:t>
            </w:r>
            <w:r>
              <w:rPr>
                <w:rFonts w:ascii="Arial" w:hAnsi="Arial" w:cs="Arial"/>
                <w:sz w:val="18"/>
                <w:szCs w:val="18"/>
              </w:rPr>
              <w:t>Данные за 2011 год не утверждены Росстатом</w:t>
            </w:r>
          </w:p>
        </w:tc>
      </w:tr>
    </w:tbl>
    <w:p w:rsidR="00A062B3" w:rsidRDefault="00A062B3">
      <w:pPr>
        <w:rPr>
          <w:rFonts w:ascii="Arial" w:hAnsi="Arial" w:cs="Arial"/>
          <w:b/>
          <w:sz w:val="22"/>
        </w:rPr>
      </w:pPr>
      <w:r>
        <w:br w:type="page"/>
      </w:r>
    </w:p>
    <w:p w:rsidR="0044009A" w:rsidRDefault="0044009A" w:rsidP="0044009A">
      <w:pPr>
        <w:pStyle w:val="35"/>
        <w:spacing w:after="120"/>
      </w:pPr>
      <w:r w:rsidRPr="00A6186C">
        <w:lastRenderedPageBreak/>
        <w:t>ПОКУПАТЕЛЬНАЯ СПОСОБНОСТЬ ДЕНЕЖННЫХ ДОХОДОВ НАСЕЛЕНИЯ</w:t>
      </w:r>
    </w:p>
    <w:tbl>
      <w:tblPr>
        <w:tblStyle w:val="-11"/>
        <w:tblW w:w="0" w:type="auto"/>
        <w:tblLook w:val="00A0" w:firstRow="1" w:lastRow="0" w:firstColumn="1" w:lastColumn="0" w:noHBand="0" w:noVBand="0"/>
      </w:tblPr>
      <w:tblGrid>
        <w:gridCol w:w="3369"/>
        <w:gridCol w:w="1590"/>
        <w:gridCol w:w="1591"/>
        <w:gridCol w:w="1591"/>
        <w:gridCol w:w="1590"/>
        <w:gridCol w:w="1591"/>
        <w:gridCol w:w="1591"/>
        <w:gridCol w:w="1591"/>
      </w:tblGrid>
      <w:tr w:rsidR="0044009A" w:rsidRPr="001A4EAC" w:rsidTr="004400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C6D9F1" w:themeFill="text2" w:themeFillTint="33"/>
          </w:tcPr>
          <w:p w:rsidR="0044009A" w:rsidRPr="001A4EAC" w:rsidRDefault="0044009A" w:rsidP="0044009A">
            <w:pPr>
              <w:jc w:val="center"/>
              <w:rPr>
                <w:rFonts w:ascii="Arial" w:hAnsi="Arial" w:cs="Arial"/>
                <w:b w:val="0"/>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1590" w:type="dxa"/>
            <w:shd w:val="clear" w:color="auto" w:fill="C6D9F1" w:themeFill="text2" w:themeFillTint="33"/>
          </w:tcPr>
          <w:p w:rsidR="0044009A" w:rsidRPr="001A4EAC" w:rsidRDefault="0044009A" w:rsidP="0044009A">
            <w:pPr>
              <w:jc w:val="center"/>
              <w:rPr>
                <w:rFonts w:ascii="Arial" w:hAnsi="Arial" w:cs="Arial"/>
                <w:b w:val="0"/>
                <w:color w:val="auto"/>
                <w:sz w:val="18"/>
                <w:szCs w:val="18"/>
              </w:rPr>
            </w:pPr>
            <w:r w:rsidRPr="001A4EAC">
              <w:rPr>
                <w:rFonts w:ascii="Arial" w:hAnsi="Arial" w:cs="Arial"/>
                <w:b w:val="0"/>
                <w:color w:val="auto"/>
                <w:sz w:val="18"/>
                <w:szCs w:val="18"/>
              </w:rPr>
              <w:t>1970</w:t>
            </w:r>
          </w:p>
        </w:tc>
        <w:tc>
          <w:tcPr>
            <w:tcW w:w="1591" w:type="dxa"/>
            <w:shd w:val="clear" w:color="auto" w:fill="C6D9F1" w:themeFill="text2" w:themeFillTint="33"/>
          </w:tcPr>
          <w:p w:rsidR="0044009A" w:rsidRPr="001A4EAC" w:rsidRDefault="0044009A" w:rsidP="0044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1A4EAC">
              <w:rPr>
                <w:rFonts w:ascii="Arial" w:hAnsi="Arial" w:cs="Arial"/>
                <w:b w:val="0"/>
                <w:color w:val="auto"/>
                <w:sz w:val="18"/>
                <w:szCs w:val="18"/>
              </w:rPr>
              <w:t>1975</w:t>
            </w:r>
          </w:p>
        </w:tc>
        <w:tc>
          <w:tcPr>
            <w:cnfStyle w:val="000010000000" w:firstRow="0" w:lastRow="0" w:firstColumn="0" w:lastColumn="0" w:oddVBand="1" w:evenVBand="0" w:oddHBand="0" w:evenHBand="0" w:firstRowFirstColumn="0" w:firstRowLastColumn="0" w:lastRowFirstColumn="0" w:lastRowLastColumn="0"/>
            <w:tcW w:w="1591" w:type="dxa"/>
            <w:shd w:val="clear" w:color="auto" w:fill="C6D9F1" w:themeFill="text2" w:themeFillTint="33"/>
          </w:tcPr>
          <w:p w:rsidR="0044009A" w:rsidRPr="001A4EAC" w:rsidRDefault="0044009A" w:rsidP="0044009A">
            <w:pPr>
              <w:jc w:val="center"/>
              <w:rPr>
                <w:rFonts w:ascii="Arial" w:hAnsi="Arial" w:cs="Arial"/>
                <w:b w:val="0"/>
                <w:color w:val="auto"/>
                <w:sz w:val="18"/>
                <w:szCs w:val="18"/>
              </w:rPr>
            </w:pPr>
            <w:r w:rsidRPr="001A4EAC">
              <w:rPr>
                <w:rFonts w:ascii="Arial" w:hAnsi="Arial" w:cs="Arial"/>
                <w:b w:val="0"/>
                <w:color w:val="auto"/>
                <w:sz w:val="18"/>
                <w:szCs w:val="18"/>
              </w:rPr>
              <w:t>1980</w:t>
            </w:r>
          </w:p>
        </w:tc>
        <w:tc>
          <w:tcPr>
            <w:tcW w:w="1590" w:type="dxa"/>
            <w:shd w:val="clear" w:color="auto" w:fill="C6D9F1" w:themeFill="text2" w:themeFillTint="33"/>
          </w:tcPr>
          <w:p w:rsidR="0044009A" w:rsidRPr="001A4EAC" w:rsidRDefault="0044009A" w:rsidP="0044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1A4EAC">
              <w:rPr>
                <w:rFonts w:ascii="Arial" w:hAnsi="Arial" w:cs="Arial"/>
                <w:b w:val="0"/>
                <w:color w:val="auto"/>
                <w:sz w:val="18"/>
                <w:szCs w:val="18"/>
              </w:rPr>
              <w:t>1985</w:t>
            </w:r>
          </w:p>
        </w:tc>
        <w:tc>
          <w:tcPr>
            <w:cnfStyle w:val="000010000000" w:firstRow="0" w:lastRow="0" w:firstColumn="0" w:lastColumn="0" w:oddVBand="1" w:evenVBand="0" w:oddHBand="0" w:evenHBand="0" w:firstRowFirstColumn="0" w:firstRowLastColumn="0" w:lastRowFirstColumn="0" w:lastRowLastColumn="0"/>
            <w:tcW w:w="1591" w:type="dxa"/>
            <w:shd w:val="clear" w:color="auto" w:fill="C6D9F1" w:themeFill="text2" w:themeFillTint="33"/>
          </w:tcPr>
          <w:p w:rsidR="0044009A" w:rsidRPr="001A4EAC" w:rsidRDefault="0044009A" w:rsidP="0044009A">
            <w:pPr>
              <w:jc w:val="center"/>
              <w:rPr>
                <w:rFonts w:ascii="Arial" w:hAnsi="Arial" w:cs="Arial"/>
                <w:b w:val="0"/>
                <w:color w:val="auto"/>
                <w:sz w:val="18"/>
                <w:szCs w:val="18"/>
              </w:rPr>
            </w:pPr>
            <w:r w:rsidRPr="001A4EAC">
              <w:rPr>
                <w:rFonts w:ascii="Arial" w:hAnsi="Arial" w:cs="Arial"/>
                <w:b w:val="0"/>
                <w:color w:val="auto"/>
                <w:sz w:val="18"/>
                <w:szCs w:val="18"/>
              </w:rPr>
              <w:t>1990</w:t>
            </w:r>
          </w:p>
        </w:tc>
        <w:tc>
          <w:tcPr>
            <w:tcW w:w="1591" w:type="dxa"/>
            <w:shd w:val="clear" w:color="auto" w:fill="C6D9F1" w:themeFill="text2" w:themeFillTint="33"/>
          </w:tcPr>
          <w:p w:rsidR="0044009A" w:rsidRPr="001A4EAC" w:rsidRDefault="0044009A" w:rsidP="0044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1A4EAC">
              <w:rPr>
                <w:rFonts w:ascii="Arial" w:hAnsi="Arial" w:cs="Arial"/>
                <w:b w:val="0"/>
                <w:color w:val="auto"/>
                <w:sz w:val="18"/>
                <w:szCs w:val="18"/>
              </w:rPr>
              <w:t>201</w:t>
            </w:r>
            <w:r>
              <w:rPr>
                <w:rFonts w:ascii="Arial" w:hAnsi="Arial" w:cs="Arial"/>
                <w:b w:val="0"/>
                <w:color w:val="auto"/>
                <w:sz w:val="18"/>
                <w:szCs w:val="18"/>
              </w:rPr>
              <w:t>1</w:t>
            </w:r>
          </w:p>
        </w:tc>
        <w:tc>
          <w:tcPr>
            <w:cnfStyle w:val="000010000000" w:firstRow="0" w:lastRow="0" w:firstColumn="0" w:lastColumn="0" w:oddVBand="1" w:evenVBand="0" w:oddHBand="0" w:evenHBand="0" w:firstRowFirstColumn="0" w:firstRowLastColumn="0" w:lastRowFirstColumn="0" w:lastRowLastColumn="0"/>
            <w:tcW w:w="1591" w:type="dxa"/>
            <w:shd w:val="clear" w:color="auto" w:fill="C6D9F1" w:themeFill="text2" w:themeFillTint="33"/>
          </w:tcPr>
          <w:p w:rsidR="0044009A" w:rsidRPr="001A4EAC" w:rsidRDefault="0044009A" w:rsidP="0044009A">
            <w:pPr>
              <w:jc w:val="center"/>
              <w:rPr>
                <w:rFonts w:ascii="Arial" w:hAnsi="Arial" w:cs="Arial"/>
                <w:b w:val="0"/>
                <w:color w:val="auto"/>
                <w:sz w:val="18"/>
                <w:szCs w:val="18"/>
              </w:rPr>
            </w:pPr>
            <w:r w:rsidRPr="001A4EAC">
              <w:rPr>
                <w:rFonts w:ascii="Arial" w:hAnsi="Arial" w:cs="Arial"/>
                <w:b w:val="0"/>
                <w:color w:val="auto"/>
                <w:sz w:val="18"/>
                <w:szCs w:val="18"/>
              </w:rPr>
              <w:t>201</w:t>
            </w:r>
            <w:r>
              <w:rPr>
                <w:rFonts w:ascii="Arial" w:hAnsi="Arial" w:cs="Arial"/>
                <w:b w:val="0"/>
                <w:color w:val="auto"/>
                <w:sz w:val="18"/>
                <w:szCs w:val="18"/>
              </w:rPr>
              <w:t>1</w:t>
            </w:r>
            <w:r w:rsidRPr="001A4EAC">
              <w:rPr>
                <w:rFonts w:ascii="Arial" w:hAnsi="Arial" w:cs="Arial"/>
                <w:b w:val="0"/>
                <w:color w:val="auto"/>
                <w:sz w:val="18"/>
                <w:szCs w:val="18"/>
              </w:rPr>
              <w:t xml:space="preserve"> г. в % к 1980 г.</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Мясо (включая мясо птицы)</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35,83</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51,32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59,20</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69,14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82,35</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66,55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112,4</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Колбасные изделия</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28,09</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37,99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45,03</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48,58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70,41</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59,27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131,6</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Мясные консервы, за условную банку</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78,92</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111,09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142,88</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145,19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160,51</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206,79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144,7</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Рыба</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87,82</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125,37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142,88</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169,70</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180,38</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152,84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107,0</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Сельди</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62,35</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75,01</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54,12</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101,29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119,87</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157,58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2,9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Сливочное масло</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18,18</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25,44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31,33</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38,21</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54,11</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70,46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2,2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Растительное масло</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39,46</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55,54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68,25</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83,23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111,41</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194,55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2,9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Сыр и брынза</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28,87</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39,89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45,79</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55,84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67,16</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74,62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163,0</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Яйца, за десяток</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61,73</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87,76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104,04</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126,86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145,69</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445,66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4,3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Сахар</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73,35</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102,05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124,60</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151,94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215,23</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412,38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3,3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Чай</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9,53</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12,94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14,84</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18,10</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21,92</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40,29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2,7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Хлеб и хлебобулочные изделия</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271,09</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351,04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396,89</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483,96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610,97</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363,50</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91,6</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Мука</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201,13</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274,25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306,17</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373,34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411,74</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790,63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2,6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 xml:space="preserve">Крупа и </w:t>
            </w:r>
            <w:proofErr w:type="gramStart"/>
            <w:r w:rsidRPr="00151C2D">
              <w:rPr>
                <w:rFonts w:ascii="Arial" w:hAnsi="Arial" w:cs="Arial"/>
                <w:b w:val="0"/>
                <w:sz w:val="18"/>
                <w:szCs w:val="18"/>
              </w:rPr>
              <w:t>бобовые</w:t>
            </w:r>
            <w:proofErr w:type="gramEnd"/>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141,70</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204,09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238,13</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290,38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338,21</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448,78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188,5</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Макаронные изделия</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129,90</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172,08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202,19</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246,55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350,74</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467,32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2,3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Картофель</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479,62</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626,86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714,40</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871,13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473,50</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625,78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87,6</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ight="-158"/>
              <w:rPr>
                <w:rFonts w:ascii="Arial" w:hAnsi="Arial" w:cs="Arial"/>
                <w:b w:val="0"/>
                <w:sz w:val="18"/>
                <w:szCs w:val="18"/>
              </w:rPr>
            </w:pPr>
            <w:r w:rsidRPr="00151C2D">
              <w:rPr>
                <w:rFonts w:ascii="Arial" w:hAnsi="Arial" w:cs="Arial"/>
                <w:b w:val="0"/>
                <w:sz w:val="18"/>
                <w:szCs w:val="18"/>
              </w:rPr>
              <w:t xml:space="preserve">Водка и </w:t>
            </w:r>
            <w:proofErr w:type="gramStart"/>
            <w:r w:rsidRPr="00151C2D">
              <w:rPr>
                <w:rFonts w:ascii="Arial" w:hAnsi="Arial" w:cs="Arial"/>
                <w:b w:val="0"/>
                <w:sz w:val="18"/>
                <w:szCs w:val="18"/>
              </w:rPr>
              <w:t>ликеро-водочные</w:t>
            </w:r>
            <w:proofErr w:type="gramEnd"/>
            <w:r w:rsidRPr="00151C2D">
              <w:rPr>
                <w:rFonts w:ascii="Arial" w:hAnsi="Arial" w:cs="Arial"/>
                <w:b w:val="0"/>
                <w:sz w:val="18"/>
                <w:szCs w:val="18"/>
              </w:rPr>
              <w:t xml:space="preserve"> изделия</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10,12</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12,29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9,86</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12,02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10,41</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52,35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5,3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Виноградные и плодово-ягодные вина</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28,87</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39,71</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31,89</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38,89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36,35</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65,14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2,0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Коньяк</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5,05</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5,28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5,03</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6,13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5,49</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17,35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D27577" w:rsidRDefault="0044009A" w:rsidP="0044009A">
            <w:pPr>
              <w:spacing w:before="20" w:after="20"/>
              <w:ind w:right="396"/>
              <w:jc w:val="right"/>
              <w:rPr>
                <w:rFonts w:ascii="Arial" w:hAnsi="Arial" w:cs="Arial"/>
                <w:sz w:val="18"/>
                <w:szCs w:val="18"/>
              </w:rPr>
            </w:pPr>
            <w:r>
              <w:rPr>
                <w:rFonts w:ascii="Arial" w:hAnsi="Arial" w:cs="Arial"/>
                <w:sz w:val="18"/>
                <w:szCs w:val="18"/>
              </w:rPr>
              <w:t>в 3,4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Шампанское</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14,11</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16,43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14,70</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17,92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28,61</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82,83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5,2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Ткани хлопчатобумажные</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66,33</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87,76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92,38</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87,70</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65,76</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201,69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2,2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Ткани шерстяные</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5,45</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6,72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7,56</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9,64</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9,61</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39,30</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5,2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 xml:space="preserve">Чулочно-носочные изделия, </w:t>
            </w:r>
            <w:r w:rsidRPr="00151C2D">
              <w:rPr>
                <w:rFonts w:ascii="Arial" w:hAnsi="Arial" w:cs="Arial"/>
                <w:b w:val="0"/>
                <w:sz w:val="18"/>
                <w:szCs w:val="18"/>
              </w:rPr>
              <w:br/>
              <w:t>за пару</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50,28</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66,48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74,42</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85,97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72,57</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190,70</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2,6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ight="-158"/>
              <w:rPr>
                <w:rFonts w:ascii="Arial" w:hAnsi="Arial" w:cs="Arial"/>
                <w:b w:val="0"/>
                <w:sz w:val="18"/>
                <w:szCs w:val="18"/>
              </w:rPr>
            </w:pPr>
            <w:r w:rsidRPr="00151C2D">
              <w:rPr>
                <w:rFonts w:ascii="Arial" w:hAnsi="Arial" w:cs="Arial"/>
                <w:b w:val="0"/>
                <w:sz w:val="18"/>
                <w:szCs w:val="18"/>
              </w:rPr>
              <w:t>Телевизоры цветного изображения</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0,08</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0,13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0,15</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0,2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0,23</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0,97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6,5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Холодильники и морозильники</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0,29</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0,36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0,43</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0,45</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0,54</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1,02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2,4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Стиральные машины</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0,68</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1,01</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1,21</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1,38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1,89</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2,57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2,2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Электропылесосы</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1,52</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1,96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2,72</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3,13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3,07</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4,47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1,6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Велосипеды</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0,99</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1,37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1,36</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1,68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1,71</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4,56</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3,4 р.</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Швейные машины</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0,93</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1,01</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0,86</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0,92</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1,26</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2,23</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AB1328" w:rsidRDefault="0044009A" w:rsidP="0044009A">
            <w:pPr>
              <w:spacing w:before="20" w:after="20"/>
              <w:ind w:right="396"/>
              <w:jc w:val="right"/>
              <w:rPr>
                <w:rFonts w:ascii="Arial" w:hAnsi="Arial" w:cs="Arial"/>
                <w:sz w:val="18"/>
                <w:szCs w:val="18"/>
              </w:rPr>
            </w:pPr>
            <w:r>
              <w:rPr>
                <w:rFonts w:ascii="Arial" w:hAnsi="Arial" w:cs="Arial"/>
                <w:sz w:val="18"/>
                <w:szCs w:val="18"/>
              </w:rPr>
              <w:t>в 2,6 р.</w:t>
            </w:r>
          </w:p>
        </w:tc>
      </w:tr>
      <w:tr w:rsidR="0044009A" w:rsidRPr="00294095" w:rsidTr="0044009A">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Стекло оконное, за м</w:t>
            </w:r>
            <w:proofErr w:type="gramStart"/>
            <w:r w:rsidRPr="00151C2D">
              <w:rPr>
                <w:rFonts w:ascii="Arial" w:hAnsi="Arial" w:cs="Arial"/>
                <w:b w:val="0"/>
                <w:sz w:val="18"/>
                <w:szCs w:val="18"/>
                <w:vertAlign w:val="superscript"/>
              </w:rPr>
              <w:t>2</w:t>
            </w:r>
            <w:proofErr w:type="gramEnd"/>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57,73</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79,78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97,42</w:t>
            </w:r>
          </w:p>
        </w:tc>
        <w:tc>
          <w:tcPr>
            <w:tcW w:w="1590"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94095">
              <w:rPr>
                <w:rFonts w:ascii="Arial" w:hAnsi="Arial" w:cs="Arial"/>
                <w:sz w:val="18"/>
                <w:szCs w:val="18"/>
              </w:rPr>
              <w:t>103,71</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138,25</w:t>
            </w:r>
          </w:p>
        </w:tc>
        <w:tc>
          <w:tcPr>
            <w:tcW w:w="1591" w:type="dxa"/>
            <w:vAlign w:val="bottom"/>
          </w:tcPr>
          <w:p w:rsidR="0044009A" w:rsidRPr="00294095" w:rsidRDefault="0044009A" w:rsidP="0044009A">
            <w:pPr>
              <w:spacing w:before="20" w:after="20"/>
              <w:ind w:right="468"/>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33,87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34,8</w:t>
            </w:r>
          </w:p>
        </w:tc>
      </w:tr>
      <w:tr w:rsidR="0044009A" w:rsidRPr="00294095" w:rsidTr="0044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44009A" w:rsidRPr="00151C2D" w:rsidRDefault="0044009A" w:rsidP="0044009A">
            <w:pPr>
              <w:spacing w:before="20" w:after="20"/>
              <w:ind w:left="-70"/>
              <w:rPr>
                <w:rFonts w:ascii="Arial" w:hAnsi="Arial" w:cs="Arial"/>
                <w:b w:val="0"/>
                <w:sz w:val="18"/>
                <w:szCs w:val="18"/>
              </w:rPr>
            </w:pPr>
            <w:r w:rsidRPr="00151C2D">
              <w:rPr>
                <w:rFonts w:ascii="Arial" w:hAnsi="Arial" w:cs="Arial"/>
                <w:b w:val="0"/>
                <w:sz w:val="18"/>
                <w:szCs w:val="18"/>
              </w:rPr>
              <w:t>Цемент, за тонну</w:t>
            </w:r>
          </w:p>
        </w:tc>
        <w:tc>
          <w:tcPr>
            <w:cnfStyle w:val="000010000000" w:firstRow="0" w:lastRow="0" w:firstColumn="0" w:lastColumn="0" w:oddVBand="1" w:evenVBand="0" w:oddHBand="0" w:evenHBand="0" w:firstRowFirstColumn="0" w:firstRowLastColumn="0" w:lastRowFirstColumn="0" w:lastRowLastColumn="0"/>
            <w:tcW w:w="1590"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1,87</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2,58</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3,15</w:t>
            </w:r>
          </w:p>
        </w:tc>
        <w:tc>
          <w:tcPr>
            <w:tcW w:w="1590"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94095">
              <w:rPr>
                <w:rFonts w:ascii="Arial" w:hAnsi="Arial" w:cs="Arial"/>
                <w:sz w:val="18"/>
                <w:szCs w:val="18"/>
              </w:rPr>
              <w:t>2,39</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468"/>
              <w:jc w:val="right"/>
              <w:rPr>
                <w:rFonts w:ascii="Arial" w:hAnsi="Arial" w:cs="Arial"/>
                <w:sz w:val="18"/>
                <w:szCs w:val="18"/>
              </w:rPr>
            </w:pPr>
            <w:r w:rsidRPr="00294095">
              <w:rPr>
                <w:rFonts w:ascii="Arial" w:hAnsi="Arial" w:cs="Arial"/>
                <w:sz w:val="18"/>
                <w:szCs w:val="18"/>
              </w:rPr>
              <w:t>3,21</w:t>
            </w:r>
          </w:p>
        </w:tc>
        <w:tc>
          <w:tcPr>
            <w:tcW w:w="1591" w:type="dxa"/>
            <w:vAlign w:val="bottom"/>
          </w:tcPr>
          <w:p w:rsidR="0044009A" w:rsidRPr="00294095" w:rsidRDefault="0044009A" w:rsidP="0044009A">
            <w:pPr>
              <w:spacing w:before="20" w:after="20"/>
              <w:ind w:right="468"/>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2,87</w:t>
            </w:r>
          </w:p>
        </w:tc>
        <w:tc>
          <w:tcPr>
            <w:cnfStyle w:val="000010000000" w:firstRow="0" w:lastRow="0" w:firstColumn="0" w:lastColumn="0" w:oddVBand="1" w:evenVBand="0" w:oddHBand="0" w:evenHBand="0" w:firstRowFirstColumn="0" w:firstRowLastColumn="0" w:lastRowFirstColumn="0" w:lastRowLastColumn="0"/>
            <w:tcW w:w="1591" w:type="dxa"/>
            <w:vAlign w:val="bottom"/>
          </w:tcPr>
          <w:p w:rsidR="0044009A" w:rsidRPr="00294095" w:rsidRDefault="0044009A" w:rsidP="0044009A">
            <w:pPr>
              <w:spacing w:before="20" w:after="20"/>
              <w:ind w:right="396"/>
              <w:jc w:val="right"/>
              <w:rPr>
                <w:rFonts w:ascii="Arial" w:hAnsi="Arial" w:cs="Arial"/>
                <w:sz w:val="18"/>
                <w:szCs w:val="18"/>
              </w:rPr>
            </w:pPr>
            <w:r>
              <w:rPr>
                <w:rFonts w:ascii="Arial" w:hAnsi="Arial" w:cs="Arial"/>
                <w:sz w:val="18"/>
                <w:szCs w:val="18"/>
              </w:rPr>
              <w:t>91,1</w:t>
            </w:r>
          </w:p>
        </w:tc>
      </w:tr>
    </w:tbl>
    <w:p w:rsidR="0044009A" w:rsidRDefault="0044009A" w:rsidP="0044009A">
      <w:pPr>
        <w:pStyle w:val="1"/>
        <w:rPr>
          <w:color w:val="548DD4" w:themeColor="text2" w:themeTint="99"/>
        </w:rPr>
      </w:pPr>
    </w:p>
    <w:bookmarkEnd w:id="16"/>
    <w:p w:rsidR="0044009A" w:rsidRPr="00B37742" w:rsidRDefault="0044009A" w:rsidP="0044009A">
      <w:pPr>
        <w:pStyle w:val="1"/>
        <w:rPr>
          <w:color w:val="548DD4" w:themeColor="text2" w:themeTint="99"/>
        </w:rPr>
      </w:pPr>
      <w:r w:rsidRPr="00B37742">
        <w:rPr>
          <w:color w:val="548DD4" w:themeColor="text2" w:themeTint="99"/>
        </w:rPr>
        <w:t>ЖИЛИЩНЫЙ ФОНД ОБЛАСТИ</w:t>
      </w:r>
    </w:p>
    <w:p w:rsidR="0044009A" w:rsidRDefault="0044009A" w:rsidP="0044009A">
      <w:pPr>
        <w:rPr>
          <w:rFonts w:ascii="Arial" w:hAnsi="Arial" w:cs="Arial"/>
          <w:sz w:val="22"/>
        </w:rPr>
      </w:pPr>
    </w:p>
    <w:p w:rsidR="0044009A" w:rsidRPr="00DB6C7F" w:rsidRDefault="0044009A" w:rsidP="0044009A">
      <w:pPr>
        <w:pStyle w:val="22"/>
        <w:spacing w:line="240" w:lineRule="auto"/>
        <w:ind w:firstLine="0"/>
        <w:rPr>
          <w:rFonts w:cs="Arial"/>
          <w:sz w:val="22"/>
        </w:rPr>
      </w:pPr>
      <w:r>
        <w:rPr>
          <w:rFonts w:cs="Arial"/>
          <w:noProof/>
          <w:sz w:val="22"/>
        </w:rPr>
        <w:drawing>
          <wp:anchor distT="0" distB="0" distL="114300" distR="114300" simplePos="0" relativeHeight="251749376" behindDoc="0" locked="0" layoutInCell="1" allowOverlap="1">
            <wp:simplePos x="0" y="0"/>
            <wp:positionH relativeFrom="column">
              <wp:posOffset>-43180</wp:posOffset>
            </wp:positionH>
            <wp:positionV relativeFrom="paragraph">
              <wp:posOffset>-4445</wp:posOffset>
            </wp:positionV>
            <wp:extent cx="1511935" cy="1138555"/>
            <wp:effectExtent l="19050" t="0" r="0" b="0"/>
            <wp:wrapSquare wrapText="bothSides"/>
            <wp:docPr id="56" name="Рисунок 42" descr="жилфо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илфонд.jpg"/>
                    <pic:cNvPicPr/>
                  </pic:nvPicPr>
                  <pic:blipFill>
                    <a:blip r:embed="rId32"/>
                    <a:stretch>
                      <a:fillRect/>
                    </a:stretch>
                  </pic:blipFill>
                  <pic:spPr>
                    <a:xfrm>
                      <a:off x="0" y="0"/>
                      <a:ext cx="1511935" cy="1138555"/>
                    </a:xfrm>
                    <a:prstGeom prst="rect">
                      <a:avLst/>
                    </a:prstGeom>
                    <a:ln>
                      <a:noFill/>
                    </a:ln>
                    <a:effectLst>
                      <a:softEdge rad="112500"/>
                    </a:effectLst>
                  </pic:spPr>
                </pic:pic>
              </a:graphicData>
            </a:graphic>
          </wp:anchor>
        </w:drawing>
      </w:r>
      <w:r w:rsidRPr="00DB6C7F">
        <w:rPr>
          <w:rFonts w:cs="Arial"/>
          <w:sz w:val="22"/>
        </w:rPr>
        <w:t>Являясь одной из крупнейших отраслей экономики, жилищно-коммунальное хозяйство характеризует уровень жизни населения, выпо</w:t>
      </w:r>
      <w:r w:rsidRPr="00DB6C7F">
        <w:rPr>
          <w:rFonts w:cs="Arial"/>
          <w:sz w:val="22"/>
        </w:rPr>
        <w:t>л</w:t>
      </w:r>
      <w:r w:rsidRPr="00DB6C7F">
        <w:rPr>
          <w:rFonts w:cs="Arial"/>
          <w:sz w:val="22"/>
        </w:rPr>
        <w:t>няя важнейшую роль в повышении благосостояния народа.</w:t>
      </w:r>
    </w:p>
    <w:p w:rsidR="0044009A" w:rsidRPr="00DB6C7F" w:rsidRDefault="0044009A" w:rsidP="0044009A">
      <w:pPr>
        <w:pStyle w:val="22"/>
        <w:spacing w:line="240" w:lineRule="auto"/>
        <w:ind w:firstLine="0"/>
        <w:rPr>
          <w:rFonts w:cs="Arial"/>
          <w:sz w:val="22"/>
        </w:rPr>
      </w:pPr>
      <w:r w:rsidRPr="00DB6C7F">
        <w:rPr>
          <w:rFonts w:cs="Arial"/>
          <w:sz w:val="22"/>
        </w:rPr>
        <w:t>В довоенные годы жилищно-коммунальное хозяйство Ульяновской области было развито слабо. В больший уп</w:t>
      </w:r>
      <w:r w:rsidRPr="00DB6C7F">
        <w:rPr>
          <w:rFonts w:cs="Arial"/>
          <w:sz w:val="22"/>
        </w:rPr>
        <w:t>а</w:t>
      </w:r>
      <w:r w:rsidRPr="00DB6C7F">
        <w:rPr>
          <w:rFonts w:cs="Arial"/>
          <w:sz w:val="22"/>
        </w:rPr>
        <w:t>док  оно пришло в годы войны. В начале 1944 года в г. Ульяновске из 8750 зданий только 750 домов были каме</w:t>
      </w:r>
      <w:r w:rsidRPr="00DB6C7F">
        <w:rPr>
          <w:rFonts w:cs="Arial"/>
          <w:sz w:val="22"/>
        </w:rPr>
        <w:t>н</w:t>
      </w:r>
      <w:r w:rsidRPr="00DB6C7F">
        <w:rPr>
          <w:rFonts w:cs="Arial"/>
          <w:sz w:val="22"/>
        </w:rPr>
        <w:t>ными. Остальные были деревянными, ветхими и старыми. Канализацией были оборудованы всего 215 зданий. В городе не было ни одной асфальтированной улицы. Плохо обстояло дело с водой. При потребности 12 тысяч кубометров в сутки насосная станция подавала немногим более 8 тысяч кубометров. Водопроводом было обор</w:t>
      </w:r>
      <w:r w:rsidRPr="00DB6C7F">
        <w:rPr>
          <w:rFonts w:cs="Arial"/>
          <w:sz w:val="22"/>
        </w:rPr>
        <w:t>у</w:t>
      </w:r>
      <w:r w:rsidRPr="00DB6C7F">
        <w:rPr>
          <w:rFonts w:cs="Arial"/>
          <w:sz w:val="22"/>
        </w:rPr>
        <w:t>довано всего 30% обобществленного жилищного фонда, канализацией – шесть, центральным отоплением – два, электрическим освещением – 55%. В домах, находившихся в личной собственности граждан, и этого ничего не было. Ни одна квартира государственного и кооперативного жилого фонда, не говоря о домах личной собственности, перед войной не была оборудована газом, ваннами или горячим водоснабжением.</w:t>
      </w:r>
    </w:p>
    <w:p w:rsidR="0044009A" w:rsidRDefault="0044009A" w:rsidP="0044009A">
      <w:pPr>
        <w:ind w:firstLine="709"/>
        <w:jc w:val="both"/>
        <w:rPr>
          <w:rFonts w:ascii="Arial" w:hAnsi="Arial" w:cs="Arial"/>
          <w:sz w:val="22"/>
        </w:rPr>
      </w:pPr>
      <w:r>
        <w:rPr>
          <w:rFonts w:ascii="Arial" w:hAnsi="Arial" w:cs="Arial"/>
          <w:sz w:val="22"/>
        </w:rPr>
        <w:t>Несколько стали возрастать темпы жилищного строительства и развития коммунального хозяйства в послевоенный период. К началу 50-х годов государственный обобществленный жилой фонд в городах и поселках области возрос до 854 тысяч кв. метров общей площади. Поднимается и процент благоустройства. В 1946 году городской водопровод стал давать 13 тысяч кубометров воды в сутки. В 1947 году г. Ульяновск получил от ТЭЦ автомобильного завода первый ток.</w:t>
      </w:r>
    </w:p>
    <w:p w:rsidR="0044009A" w:rsidRDefault="0044009A" w:rsidP="0044009A">
      <w:pPr>
        <w:ind w:firstLine="709"/>
        <w:jc w:val="both"/>
        <w:rPr>
          <w:rFonts w:ascii="Arial" w:hAnsi="Arial" w:cs="Arial"/>
          <w:sz w:val="22"/>
        </w:rPr>
      </w:pPr>
      <w:r>
        <w:rPr>
          <w:rFonts w:ascii="Arial" w:hAnsi="Arial" w:cs="Arial"/>
          <w:sz w:val="22"/>
        </w:rPr>
        <w:t>В 1957 году было принято постановление ЦК КПСС и Совета Министров СССР "О развитии жилищного строительства в СССР", после чего резко возросли объемы капитальных вложений на эти цели. К началу 60-х годов жилищный фонд городов и поселков горо</w:t>
      </w:r>
      <w:r>
        <w:rPr>
          <w:rFonts w:ascii="Arial" w:hAnsi="Arial" w:cs="Arial"/>
          <w:sz w:val="22"/>
        </w:rPr>
        <w:t>д</w:t>
      </w:r>
      <w:r>
        <w:rPr>
          <w:rFonts w:ascii="Arial" w:hAnsi="Arial" w:cs="Arial"/>
          <w:sz w:val="22"/>
        </w:rPr>
        <w:t>ского типа насчитывал свыше трех миллионов кв. метров общей площади, из них половину (1,6 млн. кв. метров) составлял обобщест</w:t>
      </w:r>
      <w:r>
        <w:rPr>
          <w:rFonts w:ascii="Arial" w:hAnsi="Arial" w:cs="Arial"/>
          <w:sz w:val="22"/>
        </w:rPr>
        <w:t>в</w:t>
      </w:r>
      <w:r>
        <w:rPr>
          <w:rFonts w:ascii="Arial" w:hAnsi="Arial" w:cs="Arial"/>
          <w:sz w:val="22"/>
        </w:rPr>
        <w:t>ленный фонд.</w:t>
      </w:r>
    </w:p>
    <w:p w:rsidR="0044009A" w:rsidRDefault="0044009A" w:rsidP="0044009A">
      <w:pPr>
        <w:ind w:firstLine="709"/>
        <w:jc w:val="both"/>
        <w:rPr>
          <w:rFonts w:ascii="Arial" w:hAnsi="Arial" w:cs="Arial"/>
          <w:sz w:val="22"/>
        </w:rPr>
      </w:pPr>
      <w:r>
        <w:rPr>
          <w:rFonts w:ascii="Arial" w:hAnsi="Arial" w:cs="Arial"/>
          <w:sz w:val="22"/>
        </w:rPr>
        <w:t>К концу 1970 года общая площадь городского  жилищного фонда превысила 6,3 млн. кв. метров, в том числе обобществленного – 4,1, а жилого фонда, находящегося в личной собственности граждан – 2,2 млн. кв. метров. Коммунальное хозяйство области в эти годы также развивалось бурными темпами. В начале 70-х годов водопроводом было оборудовано 82% обобществленного жилого фонда в городской местности, канализацией – 77%, центральным отоплением – 78%, горячим водоснабжением – 6%, газом – 88%, ваннами – 66%, электроэнергией – 100%.</w:t>
      </w:r>
    </w:p>
    <w:p w:rsidR="0044009A" w:rsidRPr="000427DC" w:rsidRDefault="0044009A" w:rsidP="0044009A">
      <w:pPr>
        <w:ind w:firstLine="709"/>
        <w:jc w:val="both"/>
        <w:rPr>
          <w:rFonts w:ascii="Arial" w:hAnsi="Arial" w:cs="Arial"/>
          <w:color w:val="FF0000"/>
          <w:sz w:val="22"/>
        </w:rPr>
      </w:pPr>
      <w:r>
        <w:rPr>
          <w:rFonts w:ascii="Arial" w:hAnsi="Arial" w:cs="Arial"/>
          <w:sz w:val="22"/>
        </w:rPr>
        <w:t xml:space="preserve">На начало 2012 года жилищный фонд Ульяновской области составил 30,3 млн. кв. метров общей площади жилья и увеличился по сравнению с 1970 годом в </w:t>
      </w:r>
      <w:r w:rsidRPr="002267F3">
        <w:rPr>
          <w:rFonts w:ascii="Arial" w:hAnsi="Arial" w:cs="Arial"/>
          <w:sz w:val="22"/>
        </w:rPr>
        <w:t>4,8</w:t>
      </w:r>
      <w:r>
        <w:rPr>
          <w:rFonts w:ascii="Arial" w:hAnsi="Arial" w:cs="Arial"/>
          <w:sz w:val="22"/>
        </w:rPr>
        <w:t xml:space="preserve"> раза. В городской местности расположено 71,5 % всего жилищного фонда. В 2011 году по сравнению с 1990 годом в городской местности жилищный фонд увеличился </w:t>
      </w:r>
      <w:r w:rsidRPr="002267F3">
        <w:rPr>
          <w:rFonts w:ascii="Arial" w:hAnsi="Arial" w:cs="Arial"/>
          <w:sz w:val="22"/>
        </w:rPr>
        <w:t xml:space="preserve">на </w:t>
      </w:r>
      <w:r w:rsidRPr="00745E11">
        <w:rPr>
          <w:rFonts w:ascii="Arial" w:hAnsi="Arial" w:cs="Arial"/>
          <w:sz w:val="22"/>
        </w:rPr>
        <w:t>5,7</w:t>
      </w:r>
      <w:r w:rsidRPr="002267F3">
        <w:rPr>
          <w:rFonts w:ascii="Arial" w:hAnsi="Arial" w:cs="Arial"/>
          <w:sz w:val="22"/>
        </w:rPr>
        <w:t xml:space="preserve"> млн. кв. метров,</w:t>
      </w:r>
      <w:r w:rsidR="00406629">
        <w:rPr>
          <w:rFonts w:ascii="Arial" w:hAnsi="Arial" w:cs="Arial"/>
          <w:sz w:val="22"/>
        </w:rPr>
        <w:t xml:space="preserve"> </w:t>
      </w:r>
      <w:r w:rsidRPr="00745E11">
        <w:rPr>
          <w:rFonts w:ascii="Arial" w:hAnsi="Arial" w:cs="Arial"/>
          <w:sz w:val="22"/>
        </w:rPr>
        <w:t>или на 36,0</w:t>
      </w:r>
      <w:r>
        <w:rPr>
          <w:rFonts w:ascii="Arial" w:hAnsi="Arial" w:cs="Arial"/>
          <w:sz w:val="22"/>
        </w:rPr>
        <w:t xml:space="preserve"> %, а в сельской местности – </w:t>
      </w:r>
      <w:r w:rsidRPr="002267F3">
        <w:rPr>
          <w:rFonts w:ascii="Arial" w:hAnsi="Arial" w:cs="Arial"/>
          <w:sz w:val="22"/>
        </w:rPr>
        <w:t xml:space="preserve">на </w:t>
      </w:r>
      <w:r w:rsidRPr="00745E11">
        <w:rPr>
          <w:rFonts w:ascii="Arial" w:hAnsi="Arial" w:cs="Arial"/>
          <w:sz w:val="22"/>
        </w:rPr>
        <w:t>0,9</w:t>
      </w:r>
      <w:r w:rsidRPr="002267F3">
        <w:rPr>
          <w:rFonts w:ascii="Arial" w:hAnsi="Arial" w:cs="Arial"/>
          <w:sz w:val="22"/>
        </w:rPr>
        <w:t xml:space="preserve"> млн. кв. метров,</w:t>
      </w:r>
      <w:r w:rsidR="00406629">
        <w:rPr>
          <w:rFonts w:ascii="Arial" w:hAnsi="Arial" w:cs="Arial"/>
          <w:sz w:val="22"/>
        </w:rPr>
        <w:t xml:space="preserve"> </w:t>
      </w:r>
      <w:r w:rsidRPr="00745E11">
        <w:rPr>
          <w:rFonts w:ascii="Arial" w:hAnsi="Arial" w:cs="Arial"/>
          <w:sz w:val="22"/>
        </w:rPr>
        <w:t xml:space="preserve">или  </w:t>
      </w:r>
      <w:proofErr w:type="gramStart"/>
      <w:r w:rsidRPr="00745E11">
        <w:rPr>
          <w:rFonts w:ascii="Arial" w:hAnsi="Arial" w:cs="Arial"/>
          <w:sz w:val="22"/>
        </w:rPr>
        <w:t>на</w:t>
      </w:r>
      <w:proofErr w:type="gramEnd"/>
      <w:r w:rsidRPr="00745E11">
        <w:rPr>
          <w:rFonts w:ascii="Arial" w:hAnsi="Arial" w:cs="Arial"/>
          <w:sz w:val="22"/>
        </w:rPr>
        <w:t xml:space="preserve">  11,5 %.</w:t>
      </w:r>
    </w:p>
    <w:p w:rsidR="0044009A" w:rsidRDefault="0044009A" w:rsidP="0044009A">
      <w:pPr>
        <w:ind w:firstLine="709"/>
        <w:jc w:val="both"/>
        <w:rPr>
          <w:rFonts w:ascii="Arial" w:hAnsi="Arial" w:cs="Arial"/>
          <w:sz w:val="22"/>
        </w:rPr>
      </w:pPr>
      <w:r>
        <w:rPr>
          <w:rFonts w:ascii="Arial" w:hAnsi="Arial" w:cs="Arial"/>
          <w:sz w:val="22"/>
        </w:rPr>
        <w:t xml:space="preserve">В жилищной сфере области, </w:t>
      </w:r>
      <w:proofErr w:type="gramStart"/>
      <w:r>
        <w:rPr>
          <w:rFonts w:ascii="Arial" w:hAnsi="Arial" w:cs="Arial"/>
          <w:sz w:val="22"/>
        </w:rPr>
        <w:t>начиная с 1989 года продолжается процесс приватизации</w:t>
      </w:r>
      <w:proofErr w:type="gramEnd"/>
      <w:r>
        <w:rPr>
          <w:rFonts w:ascii="Arial" w:hAnsi="Arial" w:cs="Arial"/>
          <w:sz w:val="22"/>
        </w:rPr>
        <w:t xml:space="preserve"> жилья. В настоящее время приватизация жилых помещений осуществляется во всех районах области. К началу 2012 года население области приватизировало 246,4 тыс. квартир, что составляет </w:t>
      </w:r>
      <w:r w:rsidRPr="00745E11">
        <w:rPr>
          <w:rFonts w:ascii="Arial" w:hAnsi="Arial" w:cs="Arial"/>
          <w:sz w:val="22"/>
        </w:rPr>
        <w:t>76,0</w:t>
      </w:r>
      <w:r>
        <w:rPr>
          <w:rFonts w:ascii="Arial" w:hAnsi="Arial" w:cs="Arial"/>
          <w:sz w:val="22"/>
        </w:rPr>
        <w:t>% от числа квартир, подлежащих приватизации. Следует отметить, что пик приватизации жилья пришелся на 1993 год (25,1 тыс. квартир).</w:t>
      </w:r>
    </w:p>
    <w:p w:rsidR="0044009A" w:rsidRDefault="0044009A" w:rsidP="0044009A">
      <w:pPr>
        <w:ind w:firstLine="709"/>
        <w:jc w:val="both"/>
        <w:rPr>
          <w:rFonts w:ascii="Arial" w:hAnsi="Arial" w:cs="Arial"/>
          <w:sz w:val="22"/>
        </w:rPr>
      </w:pPr>
      <w:r>
        <w:rPr>
          <w:rFonts w:ascii="Arial" w:hAnsi="Arial" w:cs="Arial"/>
          <w:sz w:val="22"/>
        </w:rPr>
        <w:t>Процессы приватизации жилья, продажи новых квартир, рост индивидуального строительства существенно изменили структуру жилищного фонда. Значительно увеличился удельный вес жилья, находящегося в частной собственности. Если в 1990 году в частной собственности находилось 39 % жилья, то в 2011  – 84,5 %.</w:t>
      </w:r>
    </w:p>
    <w:p w:rsidR="0044009A" w:rsidRDefault="0044009A" w:rsidP="0044009A">
      <w:pPr>
        <w:ind w:firstLine="709"/>
        <w:jc w:val="both"/>
        <w:rPr>
          <w:rFonts w:ascii="Arial" w:hAnsi="Arial" w:cs="Arial"/>
          <w:sz w:val="22"/>
        </w:rPr>
      </w:pPr>
      <w:r>
        <w:rPr>
          <w:rFonts w:ascii="Arial" w:hAnsi="Arial" w:cs="Arial"/>
          <w:sz w:val="22"/>
        </w:rPr>
        <w:lastRenderedPageBreak/>
        <w:t xml:space="preserve">Средняя обеспеченность общей площадью одного жителя области увеличилась по сравнению с 1990 годом на </w:t>
      </w:r>
      <w:r w:rsidRPr="00D5652A">
        <w:rPr>
          <w:rFonts w:ascii="Arial" w:hAnsi="Arial" w:cs="Arial"/>
          <w:sz w:val="22"/>
        </w:rPr>
        <w:t>42,2</w:t>
      </w:r>
      <w:r>
        <w:rPr>
          <w:rFonts w:ascii="Arial" w:hAnsi="Arial" w:cs="Arial"/>
          <w:sz w:val="22"/>
        </w:rPr>
        <w:t xml:space="preserve"> % и составила на начало 2012 года – 23,6 кв. м. При этом обеспеченность жильем в городах выросла быстрее и увеличилась на </w:t>
      </w:r>
      <w:r w:rsidRPr="00DF70D4">
        <w:rPr>
          <w:rFonts w:ascii="Arial" w:hAnsi="Arial" w:cs="Arial"/>
          <w:sz w:val="22"/>
        </w:rPr>
        <w:t>47,7</w:t>
      </w:r>
      <w:r>
        <w:rPr>
          <w:rFonts w:ascii="Arial" w:hAnsi="Arial" w:cs="Arial"/>
          <w:sz w:val="22"/>
        </w:rPr>
        <w:t xml:space="preserve"> % против </w:t>
      </w:r>
      <w:r w:rsidRPr="00DF70D4">
        <w:rPr>
          <w:rFonts w:ascii="Arial" w:hAnsi="Arial" w:cs="Arial"/>
          <w:sz w:val="22"/>
        </w:rPr>
        <w:t>32,5 %</w:t>
      </w:r>
      <w:r>
        <w:rPr>
          <w:rFonts w:ascii="Arial" w:hAnsi="Arial" w:cs="Arial"/>
          <w:sz w:val="22"/>
        </w:rPr>
        <w:t xml:space="preserve"> на селе.</w:t>
      </w:r>
    </w:p>
    <w:p w:rsidR="0044009A" w:rsidRDefault="0044009A" w:rsidP="0044009A">
      <w:pPr>
        <w:ind w:firstLine="709"/>
        <w:jc w:val="both"/>
        <w:rPr>
          <w:rFonts w:ascii="Arial" w:hAnsi="Arial" w:cs="Arial"/>
          <w:sz w:val="22"/>
        </w:rPr>
      </w:pPr>
      <w:r>
        <w:rPr>
          <w:rFonts w:ascii="Arial" w:hAnsi="Arial" w:cs="Arial"/>
          <w:sz w:val="22"/>
        </w:rPr>
        <w:t>Жилищный фонд Ульяновской области заметно обветшал, 400,8 тыс. кв. метров общей площади жилых помещений  (1,3 %) ра</w:t>
      </w:r>
      <w:r>
        <w:rPr>
          <w:rFonts w:ascii="Arial" w:hAnsi="Arial" w:cs="Arial"/>
          <w:sz w:val="22"/>
        </w:rPr>
        <w:t>з</w:t>
      </w:r>
      <w:r>
        <w:rPr>
          <w:rFonts w:ascii="Arial" w:hAnsi="Arial" w:cs="Arial"/>
          <w:sz w:val="22"/>
        </w:rPr>
        <w:t>мещено в ветхих и аварийных домах. Процесс ликвидации непригодного для проживания жилья протекает медленно. В 2011 году по ве</w:t>
      </w:r>
      <w:r>
        <w:rPr>
          <w:rFonts w:ascii="Arial" w:hAnsi="Arial" w:cs="Arial"/>
          <w:sz w:val="22"/>
        </w:rPr>
        <w:t>т</w:t>
      </w:r>
      <w:r>
        <w:rPr>
          <w:rFonts w:ascii="Arial" w:hAnsi="Arial" w:cs="Arial"/>
          <w:sz w:val="22"/>
        </w:rPr>
        <w:t xml:space="preserve">хости и аварийности снесено </w:t>
      </w:r>
      <w:r w:rsidRPr="000462FC">
        <w:rPr>
          <w:rFonts w:ascii="Arial" w:hAnsi="Arial" w:cs="Arial"/>
          <w:sz w:val="22"/>
        </w:rPr>
        <w:t>31,4</w:t>
      </w:r>
      <w:r>
        <w:rPr>
          <w:rFonts w:ascii="Arial" w:hAnsi="Arial" w:cs="Arial"/>
          <w:sz w:val="22"/>
        </w:rPr>
        <w:t xml:space="preserve"> тыс. кв. метров площади (в том числе по ветхости – </w:t>
      </w:r>
      <w:r w:rsidRPr="000462FC">
        <w:rPr>
          <w:rFonts w:ascii="Arial" w:hAnsi="Arial" w:cs="Arial"/>
          <w:sz w:val="22"/>
        </w:rPr>
        <w:t>16,5</w:t>
      </w:r>
      <w:r>
        <w:rPr>
          <w:rFonts w:ascii="Arial" w:hAnsi="Arial" w:cs="Arial"/>
          <w:sz w:val="22"/>
        </w:rPr>
        <w:t xml:space="preserve"> тыс. кв. метров),  что составляет около </w:t>
      </w:r>
      <w:r w:rsidRPr="000462FC">
        <w:rPr>
          <w:rFonts w:ascii="Arial" w:hAnsi="Arial" w:cs="Arial"/>
          <w:sz w:val="22"/>
        </w:rPr>
        <w:t>7,8</w:t>
      </w:r>
      <w:r>
        <w:rPr>
          <w:rFonts w:ascii="Arial" w:hAnsi="Arial" w:cs="Arial"/>
          <w:sz w:val="22"/>
        </w:rPr>
        <w:t xml:space="preserve"> % от  общей площади такого жилья.</w:t>
      </w:r>
    </w:p>
    <w:p w:rsidR="0044009A" w:rsidRDefault="0044009A" w:rsidP="0044009A">
      <w:pPr>
        <w:rPr>
          <w:rFonts w:ascii="Arial" w:hAnsi="Arial" w:cs="Arial"/>
          <w:sz w:val="22"/>
        </w:rPr>
      </w:pPr>
    </w:p>
    <w:p w:rsidR="0044009A" w:rsidRDefault="0044009A" w:rsidP="0044009A">
      <w:pPr>
        <w:pStyle w:val="8"/>
        <w:rPr>
          <w:sz w:val="22"/>
        </w:rPr>
      </w:pPr>
      <w:r>
        <w:rPr>
          <w:sz w:val="22"/>
        </w:rPr>
        <w:t>БЛАГОУСТРОЙСТВО ГОРОДСКОГО ЖИЛИЩНОГО ФОНДА</w:t>
      </w:r>
    </w:p>
    <w:p w:rsidR="0044009A" w:rsidRDefault="0044009A" w:rsidP="0044009A">
      <w:pPr>
        <w:tabs>
          <w:tab w:val="left" w:pos="7230"/>
        </w:tabs>
        <w:jc w:val="center"/>
        <w:rPr>
          <w:rFonts w:ascii="Arial" w:hAnsi="Arial" w:cs="Arial"/>
          <w:sz w:val="22"/>
        </w:rPr>
      </w:pPr>
      <w:r>
        <w:rPr>
          <w:rFonts w:ascii="Arial" w:hAnsi="Arial" w:cs="Arial"/>
          <w:sz w:val="22"/>
        </w:rPr>
        <w:t>( в процентах)</w:t>
      </w:r>
    </w:p>
    <w:p w:rsidR="0044009A" w:rsidRDefault="0044009A" w:rsidP="0044009A">
      <w:pPr>
        <w:tabs>
          <w:tab w:val="left" w:pos="7230"/>
        </w:tabs>
        <w:jc w:val="center"/>
        <w:rPr>
          <w:rFonts w:ascii="Arial" w:hAnsi="Arial" w:cs="Arial"/>
          <w:sz w:val="22"/>
        </w:rPr>
      </w:pPr>
    </w:p>
    <w:tbl>
      <w:tblPr>
        <w:tblStyle w:val="-11"/>
        <w:tblW w:w="5000" w:type="pct"/>
        <w:tblLook w:val="0000" w:firstRow="0" w:lastRow="0" w:firstColumn="0" w:lastColumn="0" w:noHBand="0" w:noVBand="0"/>
      </w:tblPr>
      <w:tblGrid>
        <w:gridCol w:w="5726"/>
        <w:gridCol w:w="1758"/>
        <w:gridCol w:w="1758"/>
        <w:gridCol w:w="1758"/>
        <w:gridCol w:w="1758"/>
        <w:gridCol w:w="1746"/>
      </w:tblGrid>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4"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p>
        </w:tc>
        <w:tc>
          <w:tcPr>
            <w:tcW w:w="606"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1990</w:t>
            </w:r>
          </w:p>
        </w:tc>
        <w:tc>
          <w:tcPr>
            <w:cnfStyle w:val="000010000000" w:firstRow="0" w:lastRow="0" w:firstColumn="0" w:lastColumn="0" w:oddVBand="1" w:evenVBand="0" w:oddHBand="0" w:evenHBand="0" w:firstRowFirstColumn="0" w:firstRowLastColumn="0" w:lastRowFirstColumn="0" w:lastRowLastColumn="0"/>
            <w:tcW w:w="60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Pr>
                <w:rFonts w:ascii="Arial" w:hAnsi="Arial" w:cs="Arial"/>
                <w:sz w:val="18"/>
                <w:szCs w:val="18"/>
              </w:rPr>
              <w:t>1995</w:t>
            </w:r>
          </w:p>
        </w:tc>
        <w:tc>
          <w:tcPr>
            <w:tcW w:w="606"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60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Pr>
                <w:rFonts w:ascii="Arial" w:hAnsi="Arial" w:cs="Arial"/>
                <w:sz w:val="18"/>
                <w:szCs w:val="18"/>
              </w:rPr>
              <w:t>2005</w:t>
            </w:r>
          </w:p>
        </w:tc>
        <w:tc>
          <w:tcPr>
            <w:tcW w:w="602"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201</w:t>
            </w:r>
            <w:r>
              <w:rPr>
                <w:rFonts w:ascii="Arial" w:hAnsi="Arial" w:cs="Arial"/>
                <w:sz w:val="18"/>
                <w:szCs w:val="18"/>
              </w:rPr>
              <w:t>1</w:t>
            </w:r>
          </w:p>
        </w:tc>
      </w:tr>
      <w:tr w:rsidR="0044009A" w:rsidRPr="0053759F" w:rsidTr="0044009A">
        <w:trPr>
          <w:trHeight w:val="197"/>
        </w:trPr>
        <w:tc>
          <w:tcPr>
            <w:cnfStyle w:val="000010000000" w:firstRow="0" w:lastRow="0" w:firstColumn="0" w:lastColumn="0" w:oddVBand="1" w:evenVBand="0" w:oddHBand="0" w:evenHBand="0" w:firstRowFirstColumn="0" w:firstRowLastColumn="0" w:lastRowFirstColumn="0" w:lastRowLastColumn="0"/>
            <w:tcW w:w="1974"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Водопроводом</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75</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81</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83</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85</w:t>
            </w:r>
          </w:p>
        </w:tc>
        <w:tc>
          <w:tcPr>
            <w:tcW w:w="602"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86</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4"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Канализацией</w:t>
            </w:r>
          </w:p>
        </w:tc>
        <w:tc>
          <w:tcPr>
            <w:tcW w:w="606"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433E9">
              <w:rPr>
                <w:rFonts w:ascii="Arial" w:hAnsi="Arial" w:cs="Arial"/>
                <w:sz w:val="18"/>
                <w:szCs w:val="18"/>
              </w:rPr>
              <w:t>72</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78</w:t>
            </w:r>
          </w:p>
        </w:tc>
        <w:tc>
          <w:tcPr>
            <w:tcW w:w="606"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433E9">
              <w:rPr>
                <w:rFonts w:ascii="Arial" w:hAnsi="Arial" w:cs="Arial"/>
                <w:sz w:val="18"/>
                <w:szCs w:val="18"/>
              </w:rPr>
              <w:t>81</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Pr>
                <w:rFonts w:ascii="Arial" w:hAnsi="Arial" w:cs="Arial"/>
                <w:sz w:val="18"/>
                <w:szCs w:val="18"/>
              </w:rPr>
              <w:t>83</w:t>
            </w:r>
          </w:p>
        </w:tc>
        <w:tc>
          <w:tcPr>
            <w:tcW w:w="602"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85</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974"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Центральным отоплением</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81</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85</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87</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Pr>
                <w:rFonts w:ascii="Arial" w:hAnsi="Arial" w:cs="Arial"/>
                <w:sz w:val="18"/>
                <w:szCs w:val="18"/>
              </w:rPr>
              <w:t>89</w:t>
            </w:r>
          </w:p>
        </w:tc>
        <w:tc>
          <w:tcPr>
            <w:tcW w:w="602"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91</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4"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Ваннами (душем)</w:t>
            </w:r>
          </w:p>
        </w:tc>
        <w:tc>
          <w:tcPr>
            <w:tcW w:w="606"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433E9">
              <w:rPr>
                <w:rFonts w:ascii="Arial" w:hAnsi="Arial" w:cs="Arial"/>
                <w:sz w:val="18"/>
                <w:szCs w:val="18"/>
              </w:rPr>
              <w:t>66</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73</w:t>
            </w:r>
          </w:p>
        </w:tc>
        <w:tc>
          <w:tcPr>
            <w:tcW w:w="606"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433E9">
              <w:rPr>
                <w:rFonts w:ascii="Arial" w:hAnsi="Arial" w:cs="Arial"/>
                <w:sz w:val="18"/>
                <w:szCs w:val="18"/>
              </w:rPr>
              <w:t>75</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Pr>
                <w:rFonts w:ascii="Arial" w:hAnsi="Arial" w:cs="Arial"/>
                <w:sz w:val="18"/>
                <w:szCs w:val="18"/>
              </w:rPr>
              <w:t>77</w:t>
            </w:r>
          </w:p>
        </w:tc>
        <w:tc>
          <w:tcPr>
            <w:tcW w:w="602"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77</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974"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Газом</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72</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69</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69</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Pr>
                <w:rFonts w:ascii="Arial" w:hAnsi="Arial" w:cs="Arial"/>
                <w:sz w:val="18"/>
                <w:szCs w:val="18"/>
              </w:rPr>
              <w:t>69</w:t>
            </w:r>
          </w:p>
        </w:tc>
        <w:tc>
          <w:tcPr>
            <w:tcW w:w="602"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70</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4"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Горячим водоснабжением</w:t>
            </w:r>
          </w:p>
        </w:tc>
        <w:tc>
          <w:tcPr>
            <w:tcW w:w="606"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433E9">
              <w:rPr>
                <w:rFonts w:ascii="Arial" w:hAnsi="Arial" w:cs="Arial"/>
                <w:sz w:val="18"/>
                <w:szCs w:val="18"/>
              </w:rPr>
              <w:t>50</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58</w:t>
            </w:r>
          </w:p>
        </w:tc>
        <w:tc>
          <w:tcPr>
            <w:tcW w:w="606"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433E9">
              <w:rPr>
                <w:rFonts w:ascii="Arial" w:hAnsi="Arial" w:cs="Arial"/>
                <w:sz w:val="18"/>
                <w:szCs w:val="18"/>
              </w:rPr>
              <w:t>70</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Pr>
                <w:rFonts w:ascii="Arial" w:hAnsi="Arial" w:cs="Arial"/>
                <w:sz w:val="18"/>
                <w:szCs w:val="18"/>
              </w:rPr>
              <w:t>72</w:t>
            </w:r>
          </w:p>
        </w:tc>
        <w:tc>
          <w:tcPr>
            <w:tcW w:w="602" w:type="pct"/>
          </w:tcPr>
          <w:p w:rsidR="0044009A" w:rsidRPr="009433E9" w:rsidRDefault="0044009A" w:rsidP="0044009A">
            <w:pPr>
              <w:spacing w:before="60" w:after="60"/>
              <w:ind w:right="641"/>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72</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974"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Напольными электроплитами</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22</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sidRPr="009433E9">
              <w:rPr>
                <w:rFonts w:ascii="Arial" w:hAnsi="Arial" w:cs="Arial"/>
                <w:sz w:val="18"/>
                <w:szCs w:val="18"/>
              </w:rPr>
              <w:t>25</w:t>
            </w:r>
          </w:p>
        </w:tc>
        <w:tc>
          <w:tcPr>
            <w:tcW w:w="606"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433E9">
              <w:rPr>
                <w:rFonts w:ascii="Arial" w:hAnsi="Arial" w:cs="Arial"/>
                <w:sz w:val="18"/>
                <w:szCs w:val="18"/>
              </w:rPr>
              <w:t>26</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9433E9" w:rsidRDefault="0044009A" w:rsidP="0044009A">
            <w:pPr>
              <w:spacing w:before="60" w:after="60"/>
              <w:ind w:right="641"/>
              <w:jc w:val="right"/>
              <w:rPr>
                <w:rFonts w:ascii="Arial" w:hAnsi="Arial" w:cs="Arial"/>
                <w:sz w:val="18"/>
                <w:szCs w:val="18"/>
              </w:rPr>
            </w:pPr>
            <w:r>
              <w:rPr>
                <w:rFonts w:ascii="Arial" w:hAnsi="Arial" w:cs="Arial"/>
                <w:sz w:val="18"/>
                <w:szCs w:val="18"/>
              </w:rPr>
              <w:t>26</w:t>
            </w:r>
          </w:p>
        </w:tc>
        <w:tc>
          <w:tcPr>
            <w:tcW w:w="602" w:type="pct"/>
          </w:tcPr>
          <w:p w:rsidR="0044009A" w:rsidRPr="009433E9" w:rsidRDefault="0044009A" w:rsidP="0044009A">
            <w:pPr>
              <w:spacing w:before="60" w:after="60"/>
              <w:ind w:right="641"/>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26</w:t>
            </w:r>
          </w:p>
        </w:tc>
      </w:tr>
    </w:tbl>
    <w:p w:rsidR="0044009A" w:rsidRDefault="0044009A" w:rsidP="0044009A">
      <w:pPr>
        <w:rPr>
          <w:rFonts w:ascii="Arial" w:hAnsi="Arial" w:cs="Arial"/>
          <w:sz w:val="22"/>
        </w:rPr>
      </w:pPr>
    </w:p>
    <w:p w:rsidR="0044009A" w:rsidRDefault="0044009A" w:rsidP="0044009A">
      <w:pPr>
        <w:ind w:firstLine="709"/>
        <w:jc w:val="both"/>
        <w:rPr>
          <w:rFonts w:ascii="Arial" w:hAnsi="Arial" w:cs="Arial"/>
          <w:sz w:val="22"/>
        </w:rPr>
      </w:pPr>
      <w:r>
        <w:rPr>
          <w:rFonts w:ascii="Arial" w:hAnsi="Arial" w:cs="Arial"/>
          <w:sz w:val="22"/>
        </w:rPr>
        <w:t xml:space="preserve">Значительная часть жилищного фонда области, особенно построенного до 70-х годов, не удовлетворяет сегодня потребности населения не только по объему, но и по своим качественным характеристикам. Только </w:t>
      </w:r>
      <w:r w:rsidRPr="00D5652A">
        <w:rPr>
          <w:rFonts w:ascii="Arial" w:hAnsi="Arial" w:cs="Arial"/>
          <w:sz w:val="22"/>
        </w:rPr>
        <w:t>54,4</w:t>
      </w:r>
      <w:r>
        <w:rPr>
          <w:rFonts w:ascii="Arial" w:hAnsi="Arial" w:cs="Arial"/>
          <w:sz w:val="22"/>
        </w:rPr>
        <w:t xml:space="preserve"> % всей площади квартир в жилых, нежилых зданиях и общежитиях области оборудовано одновременно водопроводом, канализацией, центральным отоплением, газом и горячим водоснабжением. По г. Ульяновску этот показатель намного выше и составляет </w:t>
      </w:r>
      <w:r w:rsidRPr="00D5652A">
        <w:rPr>
          <w:rFonts w:ascii="Arial" w:hAnsi="Arial" w:cs="Arial"/>
          <w:sz w:val="22"/>
        </w:rPr>
        <w:t xml:space="preserve">86,1 </w:t>
      </w:r>
      <w:r>
        <w:rPr>
          <w:rFonts w:ascii="Arial" w:hAnsi="Arial" w:cs="Arial"/>
          <w:sz w:val="22"/>
        </w:rPr>
        <w:t>%.</w:t>
      </w:r>
    </w:p>
    <w:p w:rsidR="0044009A" w:rsidRDefault="0044009A" w:rsidP="0044009A">
      <w:pPr>
        <w:pStyle w:val="8"/>
        <w:ind w:firstLine="709"/>
        <w:jc w:val="both"/>
        <w:rPr>
          <w:b w:val="0"/>
          <w:bCs w:val="0"/>
          <w:sz w:val="22"/>
        </w:rPr>
      </w:pPr>
      <w:r>
        <w:rPr>
          <w:b w:val="0"/>
          <w:bCs w:val="0"/>
          <w:sz w:val="22"/>
        </w:rPr>
        <w:t>Все еще сохраняется существенное различие в благоустройстве городского и сельского жилищного фонда. В городах и поселках городского типа 13,9%  площади квартир не оборудовано водопроводом, 15,2% – канализацией,  9,5 % – центральным отоплением, от 23 до 28 % ваннами и горячим водоснабжением, а на селе 53 – 88% всей площади квартир не имеют этих видов инженерного обор</w:t>
      </w:r>
      <w:r>
        <w:rPr>
          <w:b w:val="0"/>
          <w:bCs w:val="0"/>
          <w:sz w:val="22"/>
        </w:rPr>
        <w:t>у</w:t>
      </w:r>
      <w:r>
        <w:rPr>
          <w:b w:val="0"/>
          <w:bCs w:val="0"/>
          <w:sz w:val="22"/>
        </w:rPr>
        <w:t>дования.</w:t>
      </w:r>
    </w:p>
    <w:p w:rsidR="0044009A" w:rsidRDefault="0044009A" w:rsidP="0044009A">
      <w:pPr>
        <w:pStyle w:val="8"/>
        <w:rPr>
          <w:sz w:val="22"/>
        </w:rPr>
      </w:pPr>
    </w:p>
    <w:p w:rsidR="0044009A" w:rsidRPr="008A75F2" w:rsidRDefault="0044009A" w:rsidP="0044009A"/>
    <w:p w:rsidR="0044009A" w:rsidRDefault="0044009A" w:rsidP="0044009A">
      <w:pPr>
        <w:pStyle w:val="8"/>
        <w:rPr>
          <w:sz w:val="22"/>
        </w:rPr>
      </w:pPr>
    </w:p>
    <w:p w:rsidR="0044009A" w:rsidRDefault="0044009A" w:rsidP="0044009A"/>
    <w:p w:rsidR="0044009A" w:rsidRDefault="0044009A" w:rsidP="0044009A">
      <w:pPr>
        <w:rPr>
          <w:rFonts w:ascii="Arial" w:hAnsi="Arial" w:cs="Arial"/>
          <w:b/>
          <w:bCs/>
          <w:sz w:val="22"/>
        </w:rPr>
      </w:pPr>
      <w:r>
        <w:rPr>
          <w:sz w:val="22"/>
        </w:rPr>
        <w:br w:type="page"/>
      </w:r>
    </w:p>
    <w:p w:rsidR="0044009A" w:rsidRDefault="0044009A" w:rsidP="0044009A">
      <w:pPr>
        <w:pStyle w:val="8"/>
        <w:rPr>
          <w:sz w:val="22"/>
        </w:rPr>
      </w:pPr>
      <w:r>
        <w:rPr>
          <w:sz w:val="22"/>
        </w:rPr>
        <w:lastRenderedPageBreak/>
        <w:t>БЛАГОУСТРОЙСТВО  СЕЛЬСКОГО  ЖИЛИЩНОГО ФОНДА</w:t>
      </w:r>
    </w:p>
    <w:p w:rsidR="0044009A" w:rsidRDefault="0044009A" w:rsidP="0044009A">
      <w:pPr>
        <w:tabs>
          <w:tab w:val="left" w:pos="7230"/>
        </w:tabs>
        <w:jc w:val="center"/>
        <w:rPr>
          <w:rFonts w:ascii="Arial" w:hAnsi="Arial" w:cs="Arial"/>
          <w:sz w:val="22"/>
        </w:rPr>
      </w:pPr>
      <w:r>
        <w:rPr>
          <w:rFonts w:ascii="Arial" w:hAnsi="Arial" w:cs="Arial"/>
          <w:sz w:val="22"/>
        </w:rPr>
        <w:t>( в процентах)</w:t>
      </w:r>
    </w:p>
    <w:p w:rsidR="0044009A" w:rsidRDefault="0044009A" w:rsidP="0044009A">
      <w:pPr>
        <w:pStyle w:val="8"/>
        <w:rPr>
          <w:sz w:val="22"/>
        </w:rPr>
      </w:pPr>
    </w:p>
    <w:tbl>
      <w:tblPr>
        <w:tblStyle w:val="-11"/>
        <w:tblW w:w="5000" w:type="pct"/>
        <w:tblLook w:val="0000" w:firstRow="0" w:lastRow="0" w:firstColumn="0" w:lastColumn="0" w:noHBand="0" w:noVBand="0"/>
      </w:tblPr>
      <w:tblGrid>
        <w:gridCol w:w="5733"/>
        <w:gridCol w:w="1759"/>
        <w:gridCol w:w="1759"/>
        <w:gridCol w:w="1758"/>
        <w:gridCol w:w="1749"/>
        <w:gridCol w:w="1746"/>
      </w:tblGrid>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p>
        </w:tc>
        <w:tc>
          <w:tcPr>
            <w:tcW w:w="606"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1993</w:t>
            </w:r>
          </w:p>
        </w:tc>
        <w:tc>
          <w:tcPr>
            <w:cnfStyle w:val="000010000000" w:firstRow="0" w:lastRow="0" w:firstColumn="0" w:lastColumn="0" w:oddVBand="1" w:evenVBand="0" w:oddHBand="0" w:evenHBand="0" w:firstRowFirstColumn="0" w:firstRowLastColumn="0" w:lastRowFirstColumn="0" w:lastRowLastColumn="0"/>
            <w:tcW w:w="60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Pr>
                <w:rFonts w:ascii="Arial" w:hAnsi="Arial" w:cs="Arial"/>
                <w:sz w:val="18"/>
                <w:szCs w:val="18"/>
              </w:rPr>
              <w:t>1995</w:t>
            </w:r>
          </w:p>
        </w:tc>
        <w:tc>
          <w:tcPr>
            <w:tcW w:w="606"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603"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200</w:t>
            </w:r>
            <w:r>
              <w:rPr>
                <w:rFonts w:ascii="Arial" w:hAnsi="Arial" w:cs="Arial"/>
                <w:sz w:val="18"/>
                <w:szCs w:val="18"/>
              </w:rPr>
              <w:t>5</w:t>
            </w:r>
          </w:p>
        </w:tc>
        <w:tc>
          <w:tcPr>
            <w:tcW w:w="602"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201</w:t>
            </w:r>
            <w:r>
              <w:rPr>
                <w:rFonts w:ascii="Arial" w:hAnsi="Arial" w:cs="Arial"/>
                <w:sz w:val="18"/>
                <w:szCs w:val="18"/>
              </w:rPr>
              <w:t>1</w:t>
            </w:r>
          </w:p>
        </w:tc>
      </w:tr>
      <w:tr w:rsidR="0044009A" w:rsidRPr="0053759F" w:rsidTr="0044009A">
        <w:trPr>
          <w:trHeight w:val="197"/>
        </w:trPr>
        <w:tc>
          <w:tcPr>
            <w:cnfStyle w:val="000010000000" w:firstRow="0" w:lastRow="0" w:firstColumn="0" w:lastColumn="0" w:oddVBand="1" w:evenVBand="0" w:oddHBand="0" w:evenHBand="0" w:firstRowFirstColumn="0" w:firstRowLastColumn="0" w:lastRowFirstColumn="0" w:lastRowLastColumn="0"/>
            <w:tcW w:w="1976"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Водопроводом</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29</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53759F" w:rsidRDefault="0044009A" w:rsidP="0044009A">
            <w:pPr>
              <w:spacing w:before="60" w:after="60"/>
              <w:ind w:right="650"/>
              <w:jc w:val="right"/>
              <w:rPr>
                <w:rFonts w:ascii="Arial" w:hAnsi="Arial" w:cs="Arial"/>
                <w:sz w:val="18"/>
                <w:szCs w:val="18"/>
              </w:rPr>
            </w:pPr>
            <w:r>
              <w:rPr>
                <w:rFonts w:ascii="Arial" w:hAnsi="Arial" w:cs="Arial"/>
                <w:sz w:val="18"/>
                <w:szCs w:val="18"/>
              </w:rPr>
              <w:t>33</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39</w:t>
            </w:r>
          </w:p>
        </w:tc>
        <w:tc>
          <w:tcPr>
            <w:cnfStyle w:val="000010000000" w:firstRow="0" w:lastRow="0" w:firstColumn="0" w:lastColumn="0" w:oddVBand="1" w:evenVBand="0" w:oddHBand="0" w:evenHBand="0" w:firstRowFirstColumn="0" w:firstRowLastColumn="0" w:lastRowFirstColumn="0" w:lastRowLastColumn="0"/>
            <w:tcW w:w="603" w:type="pct"/>
          </w:tcPr>
          <w:p w:rsidR="0044009A" w:rsidRPr="003B7F37" w:rsidRDefault="0044009A" w:rsidP="0044009A">
            <w:pPr>
              <w:spacing w:before="60" w:after="60"/>
              <w:ind w:right="650"/>
              <w:jc w:val="right"/>
              <w:rPr>
                <w:rFonts w:ascii="Arial" w:hAnsi="Arial" w:cs="Arial"/>
                <w:sz w:val="18"/>
                <w:szCs w:val="18"/>
              </w:rPr>
            </w:pPr>
            <w:r w:rsidRPr="003B7F37">
              <w:rPr>
                <w:rFonts w:ascii="Arial" w:hAnsi="Arial" w:cs="Arial"/>
                <w:sz w:val="18"/>
                <w:szCs w:val="18"/>
              </w:rPr>
              <w:t>43</w:t>
            </w:r>
          </w:p>
        </w:tc>
        <w:tc>
          <w:tcPr>
            <w:tcW w:w="602" w:type="pct"/>
          </w:tcPr>
          <w:p w:rsidR="0044009A" w:rsidRPr="003B7F37"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47</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6"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Канализацией</w:t>
            </w:r>
          </w:p>
        </w:tc>
        <w:tc>
          <w:tcPr>
            <w:tcW w:w="606" w:type="pct"/>
          </w:tcPr>
          <w:p w:rsidR="0044009A" w:rsidRPr="0053759F"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16</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53759F" w:rsidRDefault="0044009A" w:rsidP="0044009A">
            <w:pPr>
              <w:spacing w:before="60" w:after="60"/>
              <w:ind w:right="650"/>
              <w:jc w:val="right"/>
              <w:rPr>
                <w:rFonts w:ascii="Arial" w:hAnsi="Arial" w:cs="Arial"/>
                <w:sz w:val="18"/>
                <w:szCs w:val="18"/>
              </w:rPr>
            </w:pPr>
            <w:r>
              <w:rPr>
                <w:rFonts w:ascii="Arial" w:hAnsi="Arial" w:cs="Arial"/>
                <w:sz w:val="18"/>
                <w:szCs w:val="18"/>
              </w:rPr>
              <w:t>20</w:t>
            </w:r>
          </w:p>
        </w:tc>
        <w:tc>
          <w:tcPr>
            <w:tcW w:w="606" w:type="pct"/>
          </w:tcPr>
          <w:p w:rsidR="0044009A" w:rsidRPr="0053759F"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26</w:t>
            </w:r>
          </w:p>
        </w:tc>
        <w:tc>
          <w:tcPr>
            <w:cnfStyle w:val="000010000000" w:firstRow="0" w:lastRow="0" w:firstColumn="0" w:lastColumn="0" w:oddVBand="1" w:evenVBand="0" w:oddHBand="0" w:evenHBand="0" w:firstRowFirstColumn="0" w:firstRowLastColumn="0" w:lastRowFirstColumn="0" w:lastRowLastColumn="0"/>
            <w:tcW w:w="603" w:type="pct"/>
          </w:tcPr>
          <w:p w:rsidR="0044009A" w:rsidRPr="003B7F37" w:rsidRDefault="0044009A" w:rsidP="0044009A">
            <w:pPr>
              <w:spacing w:before="60" w:after="60"/>
              <w:ind w:right="650"/>
              <w:jc w:val="right"/>
              <w:rPr>
                <w:rFonts w:ascii="Arial" w:hAnsi="Arial" w:cs="Arial"/>
                <w:sz w:val="18"/>
                <w:szCs w:val="18"/>
              </w:rPr>
            </w:pPr>
            <w:r>
              <w:rPr>
                <w:rFonts w:ascii="Arial" w:hAnsi="Arial" w:cs="Arial"/>
                <w:sz w:val="18"/>
                <w:szCs w:val="18"/>
              </w:rPr>
              <w:t>30</w:t>
            </w:r>
          </w:p>
        </w:tc>
        <w:tc>
          <w:tcPr>
            <w:tcW w:w="602" w:type="pct"/>
          </w:tcPr>
          <w:p w:rsidR="0044009A" w:rsidRPr="003B7F37"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34</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976"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Центральным отоплением</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53759F" w:rsidRDefault="0044009A" w:rsidP="0044009A">
            <w:pPr>
              <w:spacing w:before="60" w:after="60"/>
              <w:ind w:right="650"/>
              <w:jc w:val="right"/>
              <w:rPr>
                <w:rFonts w:ascii="Arial" w:hAnsi="Arial" w:cs="Arial"/>
                <w:sz w:val="18"/>
                <w:szCs w:val="18"/>
              </w:rPr>
            </w:pPr>
            <w:r>
              <w:rPr>
                <w:rFonts w:ascii="Arial" w:hAnsi="Arial" w:cs="Arial"/>
                <w:sz w:val="18"/>
                <w:szCs w:val="18"/>
              </w:rPr>
              <w:t>24</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32</w:t>
            </w:r>
          </w:p>
        </w:tc>
        <w:tc>
          <w:tcPr>
            <w:cnfStyle w:val="000010000000" w:firstRow="0" w:lastRow="0" w:firstColumn="0" w:lastColumn="0" w:oddVBand="1" w:evenVBand="0" w:oddHBand="0" w:evenHBand="0" w:firstRowFirstColumn="0" w:firstRowLastColumn="0" w:lastRowFirstColumn="0" w:lastRowLastColumn="0"/>
            <w:tcW w:w="603" w:type="pct"/>
          </w:tcPr>
          <w:p w:rsidR="0044009A" w:rsidRPr="003B7F37" w:rsidRDefault="0044009A" w:rsidP="0044009A">
            <w:pPr>
              <w:spacing w:before="60" w:after="60"/>
              <w:ind w:right="650"/>
              <w:jc w:val="right"/>
              <w:rPr>
                <w:rFonts w:ascii="Arial" w:hAnsi="Arial" w:cs="Arial"/>
                <w:sz w:val="18"/>
                <w:szCs w:val="18"/>
              </w:rPr>
            </w:pPr>
            <w:r>
              <w:rPr>
                <w:rFonts w:ascii="Arial" w:hAnsi="Arial" w:cs="Arial"/>
                <w:sz w:val="18"/>
                <w:szCs w:val="18"/>
              </w:rPr>
              <w:t>43</w:t>
            </w:r>
          </w:p>
        </w:tc>
        <w:tc>
          <w:tcPr>
            <w:tcW w:w="602" w:type="pct"/>
          </w:tcPr>
          <w:p w:rsidR="0044009A" w:rsidRPr="003B7F37"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51</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6"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Ваннами (душем)</w:t>
            </w:r>
          </w:p>
        </w:tc>
        <w:tc>
          <w:tcPr>
            <w:tcW w:w="606" w:type="pct"/>
          </w:tcPr>
          <w:p w:rsidR="0044009A" w:rsidRPr="0053759F"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12</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53759F" w:rsidRDefault="0044009A" w:rsidP="0044009A">
            <w:pPr>
              <w:spacing w:before="60" w:after="60"/>
              <w:ind w:right="650"/>
              <w:jc w:val="right"/>
              <w:rPr>
                <w:rFonts w:ascii="Arial" w:hAnsi="Arial" w:cs="Arial"/>
                <w:sz w:val="18"/>
                <w:szCs w:val="18"/>
              </w:rPr>
            </w:pPr>
            <w:r>
              <w:rPr>
                <w:rFonts w:ascii="Arial" w:hAnsi="Arial" w:cs="Arial"/>
                <w:sz w:val="18"/>
                <w:szCs w:val="18"/>
              </w:rPr>
              <w:t>15</w:t>
            </w:r>
          </w:p>
        </w:tc>
        <w:tc>
          <w:tcPr>
            <w:tcW w:w="606" w:type="pct"/>
          </w:tcPr>
          <w:p w:rsidR="0044009A" w:rsidRPr="0053759F"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17</w:t>
            </w:r>
          </w:p>
        </w:tc>
        <w:tc>
          <w:tcPr>
            <w:cnfStyle w:val="000010000000" w:firstRow="0" w:lastRow="0" w:firstColumn="0" w:lastColumn="0" w:oddVBand="1" w:evenVBand="0" w:oddHBand="0" w:evenHBand="0" w:firstRowFirstColumn="0" w:firstRowLastColumn="0" w:lastRowFirstColumn="0" w:lastRowLastColumn="0"/>
            <w:tcW w:w="603" w:type="pct"/>
          </w:tcPr>
          <w:p w:rsidR="0044009A" w:rsidRPr="003B7F37" w:rsidRDefault="0044009A" w:rsidP="0044009A">
            <w:pPr>
              <w:spacing w:before="60" w:after="60"/>
              <w:ind w:right="650"/>
              <w:jc w:val="right"/>
              <w:rPr>
                <w:rFonts w:ascii="Arial" w:hAnsi="Arial" w:cs="Arial"/>
                <w:sz w:val="18"/>
                <w:szCs w:val="18"/>
              </w:rPr>
            </w:pPr>
            <w:r>
              <w:rPr>
                <w:rFonts w:ascii="Arial" w:hAnsi="Arial" w:cs="Arial"/>
                <w:sz w:val="18"/>
                <w:szCs w:val="18"/>
              </w:rPr>
              <w:t>19</w:t>
            </w:r>
          </w:p>
        </w:tc>
        <w:tc>
          <w:tcPr>
            <w:tcW w:w="602" w:type="pct"/>
          </w:tcPr>
          <w:p w:rsidR="0044009A" w:rsidRPr="003B7F37"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21</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976"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Газом</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90</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53759F" w:rsidRDefault="0044009A" w:rsidP="0044009A">
            <w:pPr>
              <w:spacing w:before="60" w:after="60"/>
              <w:ind w:right="650"/>
              <w:jc w:val="right"/>
              <w:rPr>
                <w:rFonts w:ascii="Arial" w:hAnsi="Arial" w:cs="Arial"/>
                <w:sz w:val="18"/>
                <w:szCs w:val="18"/>
              </w:rPr>
            </w:pPr>
            <w:r>
              <w:rPr>
                <w:rFonts w:ascii="Arial" w:hAnsi="Arial" w:cs="Arial"/>
                <w:sz w:val="18"/>
                <w:szCs w:val="18"/>
              </w:rPr>
              <w:t>90</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94</w:t>
            </w:r>
          </w:p>
        </w:tc>
        <w:tc>
          <w:tcPr>
            <w:cnfStyle w:val="000010000000" w:firstRow="0" w:lastRow="0" w:firstColumn="0" w:lastColumn="0" w:oddVBand="1" w:evenVBand="0" w:oddHBand="0" w:evenHBand="0" w:firstRowFirstColumn="0" w:firstRowLastColumn="0" w:lastRowFirstColumn="0" w:lastRowLastColumn="0"/>
            <w:tcW w:w="603" w:type="pct"/>
          </w:tcPr>
          <w:p w:rsidR="0044009A" w:rsidRPr="003B7F37" w:rsidRDefault="0044009A" w:rsidP="0044009A">
            <w:pPr>
              <w:spacing w:before="60" w:after="60"/>
              <w:ind w:right="650"/>
              <w:jc w:val="right"/>
              <w:rPr>
                <w:rFonts w:ascii="Arial" w:hAnsi="Arial" w:cs="Arial"/>
                <w:sz w:val="18"/>
                <w:szCs w:val="18"/>
              </w:rPr>
            </w:pPr>
            <w:r>
              <w:rPr>
                <w:rFonts w:ascii="Arial" w:hAnsi="Arial" w:cs="Arial"/>
                <w:sz w:val="18"/>
                <w:szCs w:val="18"/>
              </w:rPr>
              <w:t>95</w:t>
            </w:r>
          </w:p>
        </w:tc>
        <w:tc>
          <w:tcPr>
            <w:tcW w:w="602" w:type="pct"/>
          </w:tcPr>
          <w:p w:rsidR="0044009A" w:rsidRPr="003B7F37"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95</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6"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Горячим водоснабжением</w:t>
            </w:r>
          </w:p>
        </w:tc>
        <w:tc>
          <w:tcPr>
            <w:tcW w:w="606" w:type="pct"/>
          </w:tcPr>
          <w:p w:rsidR="0044009A" w:rsidRPr="0053759F"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53759F" w:rsidRDefault="0044009A" w:rsidP="0044009A">
            <w:pPr>
              <w:spacing w:before="60" w:after="60"/>
              <w:ind w:right="650"/>
              <w:jc w:val="right"/>
              <w:rPr>
                <w:rFonts w:ascii="Arial" w:hAnsi="Arial" w:cs="Arial"/>
                <w:sz w:val="18"/>
                <w:szCs w:val="18"/>
              </w:rPr>
            </w:pPr>
            <w:r>
              <w:rPr>
                <w:rFonts w:ascii="Arial" w:hAnsi="Arial" w:cs="Arial"/>
                <w:sz w:val="18"/>
                <w:szCs w:val="18"/>
              </w:rPr>
              <w:t>4</w:t>
            </w:r>
          </w:p>
        </w:tc>
        <w:tc>
          <w:tcPr>
            <w:tcW w:w="606" w:type="pct"/>
          </w:tcPr>
          <w:p w:rsidR="0044009A" w:rsidRPr="0053759F"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w:t>
            </w:r>
          </w:p>
        </w:tc>
        <w:tc>
          <w:tcPr>
            <w:cnfStyle w:val="000010000000" w:firstRow="0" w:lastRow="0" w:firstColumn="0" w:lastColumn="0" w:oddVBand="1" w:evenVBand="0" w:oddHBand="0" w:evenHBand="0" w:firstRowFirstColumn="0" w:firstRowLastColumn="0" w:lastRowFirstColumn="0" w:lastRowLastColumn="0"/>
            <w:tcW w:w="603" w:type="pct"/>
          </w:tcPr>
          <w:p w:rsidR="0044009A" w:rsidRPr="003B7F37" w:rsidRDefault="0044009A" w:rsidP="0044009A">
            <w:pPr>
              <w:spacing w:before="60" w:after="60"/>
              <w:ind w:right="650"/>
              <w:jc w:val="right"/>
              <w:rPr>
                <w:rFonts w:ascii="Arial" w:hAnsi="Arial" w:cs="Arial"/>
                <w:sz w:val="18"/>
                <w:szCs w:val="18"/>
              </w:rPr>
            </w:pPr>
            <w:r>
              <w:rPr>
                <w:rFonts w:ascii="Arial" w:hAnsi="Arial" w:cs="Arial"/>
                <w:sz w:val="18"/>
                <w:szCs w:val="18"/>
              </w:rPr>
              <w:t>9</w:t>
            </w:r>
          </w:p>
        </w:tc>
        <w:tc>
          <w:tcPr>
            <w:tcW w:w="602" w:type="pct"/>
          </w:tcPr>
          <w:p w:rsidR="0044009A" w:rsidRPr="003B7F37" w:rsidRDefault="0044009A" w:rsidP="0044009A">
            <w:pPr>
              <w:spacing w:before="60" w:after="60"/>
              <w:ind w:right="65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12</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976" w:type="pct"/>
          </w:tcPr>
          <w:p w:rsidR="0044009A" w:rsidRPr="0053759F" w:rsidRDefault="0044009A" w:rsidP="0044009A">
            <w:pPr>
              <w:spacing w:before="60" w:after="60"/>
              <w:rPr>
                <w:rFonts w:ascii="Arial" w:hAnsi="Arial" w:cs="Arial"/>
                <w:sz w:val="18"/>
                <w:szCs w:val="18"/>
              </w:rPr>
            </w:pPr>
            <w:r w:rsidRPr="0053759F">
              <w:rPr>
                <w:rFonts w:ascii="Arial" w:hAnsi="Arial" w:cs="Arial"/>
                <w:sz w:val="18"/>
                <w:szCs w:val="18"/>
              </w:rPr>
              <w:t>Напольными электроплитами</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0,1</w:t>
            </w:r>
          </w:p>
        </w:tc>
        <w:tc>
          <w:tcPr>
            <w:cnfStyle w:val="000010000000" w:firstRow="0" w:lastRow="0" w:firstColumn="0" w:lastColumn="0" w:oddVBand="1" w:evenVBand="0" w:oddHBand="0" w:evenHBand="0" w:firstRowFirstColumn="0" w:firstRowLastColumn="0" w:lastRowFirstColumn="0" w:lastRowLastColumn="0"/>
            <w:tcW w:w="606" w:type="pct"/>
          </w:tcPr>
          <w:p w:rsidR="0044009A" w:rsidRPr="0053759F" w:rsidRDefault="0044009A" w:rsidP="0044009A">
            <w:pPr>
              <w:spacing w:before="60" w:after="60"/>
              <w:ind w:right="650"/>
              <w:jc w:val="right"/>
              <w:rPr>
                <w:rFonts w:ascii="Arial" w:hAnsi="Arial" w:cs="Arial"/>
                <w:sz w:val="18"/>
                <w:szCs w:val="18"/>
              </w:rPr>
            </w:pPr>
            <w:r>
              <w:rPr>
                <w:rFonts w:ascii="Arial" w:hAnsi="Arial" w:cs="Arial"/>
                <w:sz w:val="18"/>
                <w:szCs w:val="18"/>
              </w:rPr>
              <w:t>0,3</w:t>
            </w:r>
          </w:p>
        </w:tc>
        <w:tc>
          <w:tcPr>
            <w:tcW w:w="606" w:type="pct"/>
          </w:tcPr>
          <w:p w:rsidR="0044009A" w:rsidRPr="0053759F"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0,3</w:t>
            </w:r>
          </w:p>
        </w:tc>
        <w:tc>
          <w:tcPr>
            <w:cnfStyle w:val="000010000000" w:firstRow="0" w:lastRow="0" w:firstColumn="0" w:lastColumn="0" w:oddVBand="1" w:evenVBand="0" w:oddHBand="0" w:evenHBand="0" w:firstRowFirstColumn="0" w:firstRowLastColumn="0" w:lastRowFirstColumn="0" w:lastRowLastColumn="0"/>
            <w:tcW w:w="603" w:type="pct"/>
          </w:tcPr>
          <w:p w:rsidR="0044009A" w:rsidRPr="003B7F37" w:rsidRDefault="0044009A" w:rsidP="0044009A">
            <w:pPr>
              <w:spacing w:before="60" w:after="60"/>
              <w:ind w:right="650"/>
              <w:jc w:val="right"/>
              <w:rPr>
                <w:rFonts w:ascii="Arial" w:hAnsi="Arial" w:cs="Arial"/>
                <w:sz w:val="18"/>
                <w:szCs w:val="18"/>
              </w:rPr>
            </w:pPr>
            <w:r>
              <w:rPr>
                <w:rFonts w:ascii="Arial" w:hAnsi="Arial" w:cs="Arial"/>
                <w:sz w:val="18"/>
                <w:szCs w:val="18"/>
              </w:rPr>
              <w:t>0,5</w:t>
            </w:r>
          </w:p>
        </w:tc>
        <w:tc>
          <w:tcPr>
            <w:tcW w:w="602" w:type="pct"/>
          </w:tcPr>
          <w:p w:rsidR="0044009A" w:rsidRPr="003B7F37" w:rsidRDefault="0044009A" w:rsidP="0044009A">
            <w:pPr>
              <w:spacing w:before="60" w:after="60"/>
              <w:ind w:right="65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0,7</w:t>
            </w:r>
          </w:p>
        </w:tc>
      </w:tr>
    </w:tbl>
    <w:p w:rsidR="0044009A" w:rsidRDefault="0044009A" w:rsidP="0044009A">
      <w:pPr>
        <w:pStyle w:val="8"/>
        <w:rPr>
          <w:sz w:val="22"/>
        </w:rPr>
      </w:pPr>
    </w:p>
    <w:p w:rsidR="0044009A" w:rsidRPr="00E97B0D" w:rsidRDefault="0044009A" w:rsidP="0044009A">
      <w:pPr>
        <w:ind w:firstLine="720"/>
        <w:jc w:val="both"/>
        <w:rPr>
          <w:rFonts w:ascii="Arial" w:hAnsi="Arial" w:cs="Arial"/>
          <w:sz w:val="22"/>
          <w:szCs w:val="22"/>
        </w:rPr>
      </w:pPr>
      <w:r w:rsidRPr="00E97B0D">
        <w:rPr>
          <w:rFonts w:ascii="Arial" w:hAnsi="Arial" w:cs="Arial"/>
          <w:sz w:val="22"/>
          <w:szCs w:val="22"/>
        </w:rPr>
        <w:t xml:space="preserve">В настоящее время в области уделяется большое внимание мероприятиям по проведению  жилищно-коммунальной  реформы, направленным на переход от бюджетного дотирования к оплате населением жилищно-коммунальных услуг в полном объёме. </w:t>
      </w:r>
    </w:p>
    <w:p w:rsidR="0044009A" w:rsidRPr="00E97B0D" w:rsidRDefault="0044009A" w:rsidP="0044009A">
      <w:pPr>
        <w:pStyle w:val="33"/>
        <w:rPr>
          <w:rFonts w:ascii="Arial" w:hAnsi="Arial" w:cs="Arial"/>
          <w:sz w:val="22"/>
          <w:szCs w:val="22"/>
        </w:rPr>
      </w:pPr>
      <w:proofErr w:type="gramStart"/>
      <w:r>
        <w:rPr>
          <w:rFonts w:ascii="Arial" w:hAnsi="Arial" w:cs="Arial"/>
          <w:sz w:val="22"/>
        </w:rPr>
        <w:t>Вместе с тем следует отметить, что рост платы за жилье и коммунальные услуги происходит одновременно с принятием мер по социальной защите населения в виде предоставления субсидий (компенсаций) в пределах социальной нормы жилой площади и норм</w:t>
      </w:r>
      <w:r>
        <w:rPr>
          <w:rFonts w:ascii="Arial" w:hAnsi="Arial" w:cs="Arial"/>
          <w:sz w:val="22"/>
        </w:rPr>
        <w:t>а</w:t>
      </w:r>
      <w:r>
        <w:rPr>
          <w:rFonts w:ascii="Arial" w:hAnsi="Arial" w:cs="Arial"/>
          <w:sz w:val="22"/>
        </w:rPr>
        <w:t>тивов потребления коммунальных услуг с учетом предельно допустимой доли собственных расходов граждан на оплату жилья и комм</w:t>
      </w:r>
      <w:r>
        <w:rPr>
          <w:rFonts w:ascii="Arial" w:hAnsi="Arial" w:cs="Arial"/>
          <w:sz w:val="22"/>
        </w:rPr>
        <w:t>у</w:t>
      </w:r>
      <w:r>
        <w:rPr>
          <w:rFonts w:ascii="Arial" w:hAnsi="Arial" w:cs="Arial"/>
          <w:sz w:val="22"/>
        </w:rPr>
        <w:t>нальных услуг, прожиточного минимума, совокупного дохода семьи и действующей социальной</w:t>
      </w:r>
      <w:proofErr w:type="gramEnd"/>
      <w:r>
        <w:rPr>
          <w:rFonts w:ascii="Arial" w:hAnsi="Arial" w:cs="Arial"/>
          <w:sz w:val="22"/>
        </w:rPr>
        <w:t xml:space="preserve"> поддержки. </w:t>
      </w:r>
      <w:r w:rsidRPr="00E97B0D">
        <w:rPr>
          <w:rFonts w:ascii="Arial" w:hAnsi="Arial" w:cs="Arial"/>
          <w:sz w:val="22"/>
          <w:szCs w:val="22"/>
        </w:rPr>
        <w:t>В 201</w:t>
      </w:r>
      <w:r>
        <w:rPr>
          <w:rFonts w:ascii="Arial" w:hAnsi="Arial" w:cs="Arial"/>
          <w:sz w:val="22"/>
          <w:szCs w:val="22"/>
        </w:rPr>
        <w:t>1</w:t>
      </w:r>
      <w:r w:rsidRPr="00E97B0D">
        <w:rPr>
          <w:rFonts w:ascii="Arial" w:hAnsi="Arial" w:cs="Arial"/>
          <w:sz w:val="22"/>
          <w:szCs w:val="22"/>
        </w:rPr>
        <w:t xml:space="preserve"> году субсидии на оплату жилого помещения и коммунальных услуг получали </w:t>
      </w:r>
      <w:r>
        <w:rPr>
          <w:rFonts w:ascii="Arial" w:hAnsi="Arial" w:cs="Arial"/>
          <w:sz w:val="22"/>
          <w:szCs w:val="22"/>
        </w:rPr>
        <w:t>51,1</w:t>
      </w:r>
      <w:r w:rsidRPr="00E97B0D">
        <w:rPr>
          <w:rFonts w:ascii="Arial" w:hAnsi="Arial" w:cs="Arial"/>
          <w:sz w:val="22"/>
          <w:szCs w:val="22"/>
        </w:rPr>
        <w:t xml:space="preserve"> тыс. семей (в 20</w:t>
      </w:r>
      <w:r>
        <w:rPr>
          <w:rFonts w:ascii="Arial" w:hAnsi="Arial" w:cs="Arial"/>
          <w:sz w:val="22"/>
          <w:szCs w:val="22"/>
        </w:rPr>
        <w:t>10</w:t>
      </w:r>
      <w:r w:rsidRPr="00E97B0D">
        <w:rPr>
          <w:rFonts w:ascii="Arial" w:hAnsi="Arial" w:cs="Arial"/>
          <w:sz w:val="22"/>
          <w:szCs w:val="22"/>
        </w:rPr>
        <w:t xml:space="preserve"> году – </w:t>
      </w:r>
      <w:r>
        <w:rPr>
          <w:rFonts w:ascii="Arial" w:hAnsi="Arial" w:cs="Arial"/>
          <w:sz w:val="22"/>
          <w:szCs w:val="22"/>
        </w:rPr>
        <w:t>74</w:t>
      </w:r>
      <w:r w:rsidRPr="00E97B0D">
        <w:rPr>
          <w:rFonts w:ascii="Arial" w:hAnsi="Arial" w:cs="Arial"/>
          <w:sz w:val="22"/>
          <w:szCs w:val="22"/>
        </w:rPr>
        <w:t>,</w:t>
      </w:r>
      <w:r>
        <w:rPr>
          <w:rFonts w:ascii="Arial" w:hAnsi="Arial" w:cs="Arial"/>
          <w:sz w:val="22"/>
          <w:szCs w:val="22"/>
        </w:rPr>
        <w:t>5</w:t>
      </w:r>
      <w:r w:rsidRPr="00E97B0D">
        <w:rPr>
          <w:rFonts w:ascii="Arial" w:hAnsi="Arial" w:cs="Arial"/>
          <w:sz w:val="22"/>
          <w:szCs w:val="22"/>
        </w:rPr>
        <w:t xml:space="preserve"> тыс. семей, в 2000 году – 25,9 тыс. семей).  Субсидии  граждане получают в денежной   форме  на персональные  банковские счета. Так, в 201</w:t>
      </w:r>
      <w:r>
        <w:rPr>
          <w:rFonts w:ascii="Arial" w:hAnsi="Arial" w:cs="Arial"/>
          <w:sz w:val="22"/>
          <w:szCs w:val="22"/>
        </w:rPr>
        <w:t>1</w:t>
      </w:r>
      <w:r w:rsidRPr="00E97B0D">
        <w:rPr>
          <w:rFonts w:ascii="Arial" w:hAnsi="Arial" w:cs="Arial"/>
          <w:sz w:val="22"/>
          <w:szCs w:val="22"/>
        </w:rPr>
        <w:t xml:space="preserve"> году им было перечислено 4</w:t>
      </w:r>
      <w:r>
        <w:rPr>
          <w:rFonts w:ascii="Arial" w:hAnsi="Arial" w:cs="Arial"/>
          <w:sz w:val="22"/>
          <w:szCs w:val="22"/>
        </w:rPr>
        <w:t>18</w:t>
      </w:r>
      <w:r w:rsidRPr="00E97B0D">
        <w:rPr>
          <w:rFonts w:ascii="Arial" w:hAnsi="Arial" w:cs="Arial"/>
          <w:sz w:val="22"/>
          <w:szCs w:val="22"/>
        </w:rPr>
        <w:t>,</w:t>
      </w:r>
      <w:r>
        <w:rPr>
          <w:rFonts w:ascii="Arial" w:hAnsi="Arial" w:cs="Arial"/>
          <w:sz w:val="22"/>
          <w:szCs w:val="22"/>
        </w:rPr>
        <w:t>0</w:t>
      </w:r>
      <w:r w:rsidRPr="00E97B0D">
        <w:rPr>
          <w:rFonts w:ascii="Arial" w:hAnsi="Arial" w:cs="Arial"/>
          <w:sz w:val="22"/>
          <w:szCs w:val="22"/>
        </w:rPr>
        <w:t xml:space="preserve"> млн. руб. Среднемесячный размер субсидий  составил в 201</w:t>
      </w:r>
      <w:r>
        <w:rPr>
          <w:rFonts w:ascii="Arial" w:hAnsi="Arial" w:cs="Arial"/>
          <w:sz w:val="22"/>
          <w:szCs w:val="22"/>
        </w:rPr>
        <w:t>1</w:t>
      </w:r>
      <w:r w:rsidRPr="00E97B0D">
        <w:rPr>
          <w:rFonts w:ascii="Arial" w:hAnsi="Arial" w:cs="Arial"/>
          <w:sz w:val="22"/>
          <w:szCs w:val="22"/>
        </w:rPr>
        <w:t xml:space="preserve"> году – </w:t>
      </w:r>
      <w:r>
        <w:rPr>
          <w:rFonts w:ascii="Arial" w:hAnsi="Arial" w:cs="Arial"/>
          <w:sz w:val="22"/>
          <w:szCs w:val="22"/>
        </w:rPr>
        <w:t>6</w:t>
      </w:r>
      <w:r w:rsidRPr="00E97B0D">
        <w:rPr>
          <w:rFonts w:ascii="Arial" w:hAnsi="Arial" w:cs="Arial"/>
          <w:sz w:val="22"/>
          <w:szCs w:val="22"/>
        </w:rPr>
        <w:t>8</w:t>
      </w:r>
      <w:r>
        <w:rPr>
          <w:rFonts w:ascii="Arial" w:hAnsi="Arial" w:cs="Arial"/>
          <w:sz w:val="22"/>
          <w:szCs w:val="22"/>
        </w:rPr>
        <w:t>2</w:t>
      </w:r>
      <w:r w:rsidRPr="00E97B0D">
        <w:rPr>
          <w:rFonts w:ascii="Arial" w:hAnsi="Arial" w:cs="Arial"/>
          <w:sz w:val="22"/>
          <w:szCs w:val="22"/>
        </w:rPr>
        <w:t>,</w:t>
      </w:r>
      <w:r>
        <w:rPr>
          <w:rFonts w:ascii="Arial" w:hAnsi="Arial" w:cs="Arial"/>
          <w:sz w:val="22"/>
          <w:szCs w:val="22"/>
        </w:rPr>
        <w:t>0</w:t>
      </w:r>
      <w:r w:rsidRPr="00E97B0D">
        <w:rPr>
          <w:rFonts w:ascii="Arial" w:hAnsi="Arial" w:cs="Arial"/>
          <w:sz w:val="22"/>
          <w:szCs w:val="22"/>
        </w:rPr>
        <w:t xml:space="preserve"> руб. (в 20</w:t>
      </w:r>
      <w:r>
        <w:rPr>
          <w:rFonts w:ascii="Arial" w:hAnsi="Arial" w:cs="Arial"/>
          <w:sz w:val="22"/>
          <w:szCs w:val="22"/>
        </w:rPr>
        <w:t>10</w:t>
      </w:r>
      <w:r w:rsidRPr="00E97B0D">
        <w:rPr>
          <w:rFonts w:ascii="Arial" w:hAnsi="Arial" w:cs="Arial"/>
          <w:sz w:val="22"/>
          <w:szCs w:val="22"/>
        </w:rPr>
        <w:t xml:space="preserve"> году – 48</w:t>
      </w:r>
      <w:r>
        <w:rPr>
          <w:rFonts w:ascii="Arial" w:hAnsi="Arial" w:cs="Arial"/>
          <w:sz w:val="22"/>
          <w:szCs w:val="22"/>
        </w:rPr>
        <w:t>1</w:t>
      </w:r>
      <w:r w:rsidRPr="00E97B0D">
        <w:rPr>
          <w:rFonts w:ascii="Arial" w:hAnsi="Arial" w:cs="Arial"/>
          <w:sz w:val="22"/>
          <w:szCs w:val="22"/>
        </w:rPr>
        <w:t>,</w:t>
      </w:r>
      <w:r>
        <w:rPr>
          <w:rFonts w:ascii="Arial" w:hAnsi="Arial" w:cs="Arial"/>
          <w:sz w:val="22"/>
          <w:szCs w:val="22"/>
        </w:rPr>
        <w:t>9</w:t>
      </w:r>
      <w:r w:rsidRPr="00E97B0D">
        <w:rPr>
          <w:rFonts w:ascii="Arial" w:hAnsi="Arial" w:cs="Arial"/>
          <w:sz w:val="22"/>
          <w:szCs w:val="22"/>
        </w:rPr>
        <w:t xml:space="preserve"> руб., в 2000 году – 18,9 руб.). В 201</w:t>
      </w:r>
      <w:r>
        <w:rPr>
          <w:rFonts w:ascii="Arial" w:hAnsi="Arial" w:cs="Arial"/>
          <w:sz w:val="22"/>
          <w:szCs w:val="22"/>
        </w:rPr>
        <w:t>1</w:t>
      </w:r>
      <w:r w:rsidRPr="00E97B0D">
        <w:rPr>
          <w:rFonts w:ascii="Arial" w:hAnsi="Arial" w:cs="Arial"/>
          <w:sz w:val="22"/>
          <w:szCs w:val="22"/>
        </w:rPr>
        <w:t xml:space="preserve"> году 1</w:t>
      </w:r>
      <w:r>
        <w:rPr>
          <w:rFonts w:ascii="Arial" w:hAnsi="Arial" w:cs="Arial"/>
          <w:sz w:val="22"/>
          <w:szCs w:val="22"/>
        </w:rPr>
        <w:t>0</w:t>
      </w:r>
      <w:r w:rsidRPr="00E97B0D">
        <w:rPr>
          <w:rFonts w:ascii="Arial" w:hAnsi="Arial" w:cs="Arial"/>
          <w:sz w:val="22"/>
          <w:szCs w:val="22"/>
        </w:rPr>
        <w:t>,</w:t>
      </w:r>
      <w:r>
        <w:rPr>
          <w:rFonts w:ascii="Arial" w:hAnsi="Arial" w:cs="Arial"/>
          <w:sz w:val="22"/>
          <w:szCs w:val="22"/>
        </w:rPr>
        <w:t>4</w:t>
      </w:r>
      <w:r w:rsidRPr="00E97B0D">
        <w:rPr>
          <w:rFonts w:ascii="Arial" w:hAnsi="Arial" w:cs="Arial"/>
          <w:sz w:val="22"/>
          <w:szCs w:val="22"/>
        </w:rPr>
        <w:t xml:space="preserve"> %  </w:t>
      </w:r>
      <w:proofErr w:type="gramStart"/>
      <w:r w:rsidRPr="00E97B0D">
        <w:rPr>
          <w:rFonts w:ascii="Arial" w:hAnsi="Arial" w:cs="Arial"/>
          <w:sz w:val="22"/>
          <w:szCs w:val="22"/>
        </w:rPr>
        <w:t>всех семей, проживающих в области пользовались</w:t>
      </w:r>
      <w:proofErr w:type="gramEnd"/>
      <w:r w:rsidRPr="00E97B0D">
        <w:rPr>
          <w:rFonts w:ascii="Arial" w:hAnsi="Arial" w:cs="Arial"/>
          <w:sz w:val="22"/>
          <w:szCs w:val="22"/>
        </w:rPr>
        <w:t xml:space="preserve"> субсидиями против 1</w:t>
      </w:r>
      <w:r>
        <w:rPr>
          <w:rFonts w:ascii="Arial" w:hAnsi="Arial" w:cs="Arial"/>
          <w:sz w:val="22"/>
          <w:szCs w:val="22"/>
        </w:rPr>
        <w:t>5</w:t>
      </w:r>
      <w:r w:rsidRPr="00E97B0D">
        <w:rPr>
          <w:rFonts w:ascii="Arial" w:hAnsi="Arial" w:cs="Arial"/>
          <w:sz w:val="22"/>
          <w:szCs w:val="22"/>
        </w:rPr>
        <w:t>,2 %  в 20</w:t>
      </w:r>
      <w:r>
        <w:rPr>
          <w:rFonts w:ascii="Arial" w:hAnsi="Arial" w:cs="Arial"/>
          <w:sz w:val="22"/>
          <w:szCs w:val="22"/>
        </w:rPr>
        <w:t>10</w:t>
      </w:r>
      <w:r w:rsidRPr="00E97B0D">
        <w:rPr>
          <w:rFonts w:ascii="Arial" w:hAnsi="Arial" w:cs="Arial"/>
          <w:sz w:val="22"/>
          <w:szCs w:val="22"/>
        </w:rPr>
        <w:t xml:space="preserve"> году и 8,</w:t>
      </w:r>
      <w:r>
        <w:rPr>
          <w:rFonts w:ascii="Arial" w:hAnsi="Arial" w:cs="Arial"/>
          <w:sz w:val="22"/>
          <w:szCs w:val="22"/>
        </w:rPr>
        <w:t>3</w:t>
      </w:r>
      <w:r w:rsidRPr="00E97B0D">
        <w:rPr>
          <w:rFonts w:ascii="Arial" w:hAnsi="Arial" w:cs="Arial"/>
          <w:sz w:val="22"/>
          <w:szCs w:val="22"/>
        </w:rPr>
        <w:t xml:space="preserve"> % в 2000 году.</w:t>
      </w:r>
    </w:p>
    <w:p w:rsidR="0044009A" w:rsidRPr="00E97B0D" w:rsidRDefault="0044009A" w:rsidP="0044009A">
      <w:pPr>
        <w:ind w:firstLine="720"/>
        <w:jc w:val="both"/>
        <w:rPr>
          <w:rFonts w:ascii="Arial" w:hAnsi="Arial" w:cs="Arial"/>
          <w:sz w:val="22"/>
          <w:szCs w:val="22"/>
        </w:rPr>
      </w:pPr>
      <w:r w:rsidRPr="00E97B0D">
        <w:rPr>
          <w:rFonts w:ascii="Arial" w:hAnsi="Arial" w:cs="Arial"/>
          <w:sz w:val="22"/>
          <w:szCs w:val="22"/>
        </w:rPr>
        <w:t>Наряду с субсидиями, население пользуется социальной поддержкой  по оплате жилого помещения и коммунальных услуг, предоставляем</w:t>
      </w:r>
      <w:r>
        <w:rPr>
          <w:rFonts w:ascii="Arial" w:hAnsi="Arial" w:cs="Arial"/>
          <w:sz w:val="22"/>
          <w:szCs w:val="22"/>
        </w:rPr>
        <w:t>ой</w:t>
      </w:r>
      <w:r w:rsidRPr="00E97B0D">
        <w:rPr>
          <w:rFonts w:ascii="Arial" w:hAnsi="Arial" w:cs="Arial"/>
          <w:sz w:val="22"/>
          <w:szCs w:val="22"/>
        </w:rPr>
        <w:t xml:space="preserve"> на основании действующего законодательства. В 201</w:t>
      </w:r>
      <w:r>
        <w:rPr>
          <w:rFonts w:ascii="Arial" w:hAnsi="Arial" w:cs="Arial"/>
          <w:sz w:val="22"/>
          <w:szCs w:val="22"/>
        </w:rPr>
        <w:t>1</w:t>
      </w:r>
      <w:r w:rsidRPr="00E97B0D">
        <w:rPr>
          <w:rFonts w:ascii="Arial" w:hAnsi="Arial" w:cs="Arial"/>
          <w:sz w:val="22"/>
          <w:szCs w:val="22"/>
        </w:rPr>
        <w:t xml:space="preserve"> году социальной поддержкой пользовалось 4</w:t>
      </w:r>
      <w:r>
        <w:rPr>
          <w:rFonts w:ascii="Arial" w:hAnsi="Arial" w:cs="Arial"/>
          <w:sz w:val="22"/>
          <w:szCs w:val="22"/>
        </w:rPr>
        <w:t>39</w:t>
      </w:r>
      <w:r w:rsidRPr="00E97B0D">
        <w:rPr>
          <w:rFonts w:ascii="Arial" w:hAnsi="Arial" w:cs="Arial"/>
          <w:sz w:val="22"/>
          <w:szCs w:val="22"/>
        </w:rPr>
        <w:t>,</w:t>
      </w:r>
      <w:r>
        <w:rPr>
          <w:rFonts w:ascii="Arial" w:hAnsi="Arial" w:cs="Arial"/>
          <w:sz w:val="22"/>
          <w:szCs w:val="22"/>
        </w:rPr>
        <w:t>0</w:t>
      </w:r>
      <w:r w:rsidRPr="00E97B0D">
        <w:rPr>
          <w:rFonts w:ascii="Arial" w:hAnsi="Arial" w:cs="Arial"/>
          <w:sz w:val="22"/>
          <w:szCs w:val="22"/>
        </w:rPr>
        <w:t xml:space="preserve"> тыс</w:t>
      </w:r>
      <w:proofErr w:type="gramStart"/>
      <w:r w:rsidRPr="00E97B0D">
        <w:rPr>
          <w:rFonts w:ascii="Arial" w:hAnsi="Arial" w:cs="Arial"/>
          <w:sz w:val="22"/>
          <w:szCs w:val="22"/>
        </w:rPr>
        <w:t>.ч</w:t>
      </w:r>
      <w:proofErr w:type="gramEnd"/>
      <w:r w:rsidRPr="00E97B0D">
        <w:rPr>
          <w:rFonts w:ascii="Arial" w:hAnsi="Arial" w:cs="Arial"/>
          <w:sz w:val="22"/>
          <w:szCs w:val="22"/>
        </w:rPr>
        <w:t xml:space="preserve">еловек (среднемесячный размер социальной поддержки на одного пользователя – </w:t>
      </w:r>
      <w:r>
        <w:rPr>
          <w:rFonts w:ascii="Arial" w:hAnsi="Arial" w:cs="Arial"/>
          <w:sz w:val="22"/>
          <w:szCs w:val="22"/>
        </w:rPr>
        <w:t>461,67</w:t>
      </w:r>
      <w:r w:rsidRPr="00E97B0D">
        <w:rPr>
          <w:rFonts w:ascii="Arial" w:hAnsi="Arial" w:cs="Arial"/>
          <w:sz w:val="22"/>
          <w:szCs w:val="22"/>
        </w:rPr>
        <w:t xml:space="preserve"> руб.), в 20</w:t>
      </w:r>
      <w:r>
        <w:rPr>
          <w:rFonts w:ascii="Arial" w:hAnsi="Arial" w:cs="Arial"/>
          <w:sz w:val="22"/>
          <w:szCs w:val="22"/>
        </w:rPr>
        <w:t>10</w:t>
      </w:r>
      <w:r w:rsidRPr="00E97B0D">
        <w:rPr>
          <w:rFonts w:ascii="Arial" w:hAnsi="Arial" w:cs="Arial"/>
          <w:sz w:val="22"/>
          <w:szCs w:val="22"/>
        </w:rPr>
        <w:t xml:space="preserve"> году – 4</w:t>
      </w:r>
      <w:r>
        <w:rPr>
          <w:rFonts w:ascii="Arial" w:hAnsi="Arial" w:cs="Arial"/>
          <w:sz w:val="22"/>
          <w:szCs w:val="22"/>
        </w:rPr>
        <w:t>40</w:t>
      </w:r>
      <w:r w:rsidRPr="00E97B0D">
        <w:rPr>
          <w:rFonts w:ascii="Arial" w:hAnsi="Arial" w:cs="Arial"/>
          <w:sz w:val="22"/>
          <w:szCs w:val="22"/>
        </w:rPr>
        <w:t>,</w:t>
      </w:r>
      <w:r>
        <w:rPr>
          <w:rFonts w:ascii="Arial" w:hAnsi="Arial" w:cs="Arial"/>
          <w:sz w:val="22"/>
          <w:szCs w:val="22"/>
        </w:rPr>
        <w:t>2</w:t>
      </w:r>
      <w:r w:rsidRPr="00E97B0D">
        <w:rPr>
          <w:rFonts w:ascii="Arial" w:hAnsi="Arial" w:cs="Arial"/>
          <w:sz w:val="22"/>
          <w:szCs w:val="22"/>
        </w:rPr>
        <w:t>тыс.человек (3</w:t>
      </w:r>
      <w:r>
        <w:rPr>
          <w:rFonts w:ascii="Arial" w:hAnsi="Arial" w:cs="Arial"/>
          <w:sz w:val="22"/>
          <w:szCs w:val="22"/>
        </w:rPr>
        <w:t>85</w:t>
      </w:r>
      <w:r w:rsidRPr="00E97B0D">
        <w:rPr>
          <w:rFonts w:ascii="Arial" w:hAnsi="Arial" w:cs="Arial"/>
          <w:sz w:val="22"/>
          <w:szCs w:val="22"/>
        </w:rPr>
        <w:t>,</w:t>
      </w:r>
      <w:r>
        <w:rPr>
          <w:rFonts w:ascii="Arial" w:hAnsi="Arial" w:cs="Arial"/>
          <w:sz w:val="22"/>
          <w:szCs w:val="22"/>
        </w:rPr>
        <w:t>79</w:t>
      </w:r>
      <w:r w:rsidRPr="00E97B0D">
        <w:rPr>
          <w:rFonts w:ascii="Arial" w:hAnsi="Arial" w:cs="Arial"/>
          <w:sz w:val="22"/>
          <w:szCs w:val="22"/>
        </w:rPr>
        <w:t xml:space="preserve"> руб.), в 2000 году – 387,5 тыс.человек (16,2 руб.).</w:t>
      </w:r>
    </w:p>
    <w:p w:rsidR="0044009A" w:rsidRPr="00E97B0D" w:rsidRDefault="0044009A" w:rsidP="0044009A">
      <w:pPr>
        <w:ind w:firstLine="720"/>
        <w:jc w:val="both"/>
        <w:rPr>
          <w:rFonts w:ascii="Arial" w:hAnsi="Arial" w:cs="Arial"/>
          <w:sz w:val="22"/>
          <w:szCs w:val="22"/>
        </w:rPr>
      </w:pPr>
      <w:r w:rsidRPr="00E97B0D">
        <w:rPr>
          <w:rFonts w:ascii="Arial" w:hAnsi="Arial" w:cs="Arial"/>
          <w:sz w:val="22"/>
          <w:szCs w:val="22"/>
        </w:rPr>
        <w:t>Объём средств, предусмотренных на предоставление социальной поддержки по оплате жилья и коммунальных услуг в 201</w:t>
      </w:r>
      <w:r>
        <w:rPr>
          <w:rFonts w:ascii="Arial" w:hAnsi="Arial" w:cs="Arial"/>
          <w:sz w:val="22"/>
          <w:szCs w:val="22"/>
        </w:rPr>
        <w:t>1</w:t>
      </w:r>
      <w:r w:rsidRPr="00E97B0D">
        <w:rPr>
          <w:rFonts w:ascii="Arial" w:hAnsi="Arial" w:cs="Arial"/>
          <w:sz w:val="22"/>
          <w:szCs w:val="22"/>
        </w:rPr>
        <w:t xml:space="preserve"> году составил 2</w:t>
      </w:r>
      <w:r>
        <w:rPr>
          <w:rFonts w:ascii="Arial" w:hAnsi="Arial" w:cs="Arial"/>
          <w:sz w:val="22"/>
          <w:szCs w:val="22"/>
        </w:rPr>
        <w:t>432</w:t>
      </w:r>
      <w:r w:rsidRPr="00E97B0D">
        <w:rPr>
          <w:rFonts w:ascii="Arial" w:hAnsi="Arial" w:cs="Arial"/>
          <w:sz w:val="22"/>
          <w:szCs w:val="22"/>
        </w:rPr>
        <w:t>,</w:t>
      </w:r>
      <w:r>
        <w:rPr>
          <w:rFonts w:ascii="Arial" w:hAnsi="Arial" w:cs="Arial"/>
          <w:sz w:val="22"/>
          <w:szCs w:val="22"/>
        </w:rPr>
        <w:t>1</w:t>
      </w:r>
      <w:r w:rsidRPr="00E97B0D">
        <w:rPr>
          <w:rFonts w:ascii="Arial" w:hAnsi="Arial" w:cs="Arial"/>
          <w:sz w:val="22"/>
          <w:szCs w:val="22"/>
        </w:rPr>
        <w:t xml:space="preserve"> млн. руб.,  в том числе из местного бюджета в сумме 5</w:t>
      </w:r>
      <w:r>
        <w:rPr>
          <w:rFonts w:ascii="Arial" w:hAnsi="Arial" w:cs="Arial"/>
          <w:sz w:val="22"/>
          <w:szCs w:val="22"/>
        </w:rPr>
        <w:t>598</w:t>
      </w:r>
      <w:r w:rsidRPr="00E97B0D">
        <w:rPr>
          <w:rFonts w:ascii="Arial" w:hAnsi="Arial" w:cs="Arial"/>
          <w:sz w:val="22"/>
          <w:szCs w:val="22"/>
        </w:rPr>
        <w:t>,</w:t>
      </w:r>
      <w:r>
        <w:rPr>
          <w:rFonts w:ascii="Arial" w:hAnsi="Arial" w:cs="Arial"/>
          <w:sz w:val="22"/>
          <w:szCs w:val="22"/>
        </w:rPr>
        <w:t>5</w:t>
      </w:r>
      <w:r w:rsidRPr="00E97B0D">
        <w:rPr>
          <w:rFonts w:ascii="Arial" w:hAnsi="Arial" w:cs="Arial"/>
          <w:sz w:val="22"/>
          <w:szCs w:val="22"/>
        </w:rPr>
        <w:t xml:space="preserve"> тыс</w:t>
      </w:r>
      <w:proofErr w:type="gramStart"/>
      <w:r w:rsidRPr="00E97B0D">
        <w:rPr>
          <w:rFonts w:ascii="Arial" w:hAnsi="Arial" w:cs="Arial"/>
          <w:sz w:val="22"/>
          <w:szCs w:val="22"/>
        </w:rPr>
        <w:t>.р</w:t>
      </w:r>
      <w:proofErr w:type="gramEnd"/>
      <w:r w:rsidRPr="00E97B0D">
        <w:rPr>
          <w:rFonts w:ascii="Arial" w:hAnsi="Arial" w:cs="Arial"/>
          <w:sz w:val="22"/>
          <w:szCs w:val="22"/>
        </w:rPr>
        <w:t>уб.</w:t>
      </w:r>
    </w:p>
    <w:p w:rsidR="0044009A" w:rsidRPr="00E97B0D" w:rsidRDefault="0044009A" w:rsidP="0044009A">
      <w:pPr>
        <w:ind w:firstLine="720"/>
        <w:jc w:val="both"/>
        <w:rPr>
          <w:rFonts w:ascii="Arial" w:hAnsi="Arial" w:cs="Arial"/>
          <w:sz w:val="22"/>
          <w:szCs w:val="22"/>
        </w:rPr>
      </w:pPr>
      <w:r w:rsidRPr="00E97B0D">
        <w:rPr>
          <w:rFonts w:ascii="Arial" w:hAnsi="Arial" w:cs="Arial"/>
          <w:sz w:val="22"/>
          <w:szCs w:val="22"/>
        </w:rPr>
        <w:t xml:space="preserve">Все граждане (100%), пользующиеся социальной поддержкой по оплате жилого помещения и коммунальных услуг, получают её в денежной форме   (через банковские счета в банках, организации связи или иным способом).        </w:t>
      </w:r>
    </w:p>
    <w:p w:rsidR="0044009A" w:rsidRPr="00407575" w:rsidRDefault="0044009A" w:rsidP="0044009A">
      <w:pPr>
        <w:ind w:firstLine="720"/>
        <w:jc w:val="both"/>
        <w:rPr>
          <w:rFonts w:ascii="Arial" w:hAnsi="Arial" w:cs="Arial"/>
          <w:sz w:val="22"/>
          <w:szCs w:val="22"/>
        </w:rPr>
      </w:pPr>
      <w:r w:rsidRPr="00407575">
        <w:rPr>
          <w:rFonts w:ascii="Arial" w:hAnsi="Arial" w:cs="Arial"/>
          <w:sz w:val="22"/>
          <w:szCs w:val="22"/>
        </w:rPr>
        <w:t>В 201</w:t>
      </w:r>
      <w:r>
        <w:rPr>
          <w:rFonts w:ascii="Arial" w:hAnsi="Arial" w:cs="Arial"/>
          <w:sz w:val="22"/>
          <w:szCs w:val="22"/>
        </w:rPr>
        <w:t>1</w:t>
      </w:r>
      <w:r w:rsidRPr="00407575">
        <w:rPr>
          <w:rFonts w:ascii="Arial" w:hAnsi="Arial" w:cs="Arial"/>
          <w:sz w:val="22"/>
          <w:szCs w:val="22"/>
        </w:rPr>
        <w:t xml:space="preserve"> году стоимость  предоставленных  услуг, рассчитанная по экономически обоснованным тарифам, сложилась в сумме  </w:t>
      </w:r>
      <w:r>
        <w:rPr>
          <w:rFonts w:ascii="Arial" w:hAnsi="Arial" w:cs="Arial"/>
          <w:sz w:val="22"/>
          <w:szCs w:val="22"/>
        </w:rPr>
        <w:t>1136</w:t>
      </w:r>
      <w:r w:rsidRPr="00407575">
        <w:rPr>
          <w:rFonts w:ascii="Arial" w:hAnsi="Arial" w:cs="Arial"/>
          <w:sz w:val="22"/>
          <w:szCs w:val="22"/>
        </w:rPr>
        <w:t>,</w:t>
      </w:r>
      <w:r>
        <w:rPr>
          <w:rFonts w:ascii="Arial" w:hAnsi="Arial" w:cs="Arial"/>
          <w:sz w:val="22"/>
          <w:szCs w:val="22"/>
        </w:rPr>
        <w:t>54</w:t>
      </w:r>
      <w:r w:rsidRPr="00407575">
        <w:rPr>
          <w:rFonts w:ascii="Arial" w:hAnsi="Arial" w:cs="Arial"/>
          <w:sz w:val="22"/>
          <w:szCs w:val="22"/>
        </w:rPr>
        <w:t xml:space="preserve"> руб. в расчете на 1 человека в месяц. Уровень возмещения затрат гражданами за оказанные жилищно</w:t>
      </w:r>
      <w:r w:rsidR="00A062B3">
        <w:rPr>
          <w:rFonts w:ascii="Arial" w:hAnsi="Arial" w:cs="Arial"/>
          <w:sz w:val="22"/>
          <w:szCs w:val="22"/>
        </w:rPr>
        <w:t>-</w:t>
      </w:r>
      <w:r w:rsidRPr="00407575">
        <w:rPr>
          <w:rFonts w:ascii="Arial" w:hAnsi="Arial" w:cs="Arial"/>
          <w:sz w:val="22"/>
          <w:szCs w:val="22"/>
        </w:rPr>
        <w:t>коммунальные услуги составил  99,</w:t>
      </w:r>
      <w:r>
        <w:rPr>
          <w:rFonts w:ascii="Arial" w:hAnsi="Arial" w:cs="Arial"/>
          <w:sz w:val="22"/>
          <w:szCs w:val="22"/>
        </w:rPr>
        <w:t>99</w:t>
      </w:r>
      <w:r w:rsidRPr="00407575">
        <w:rPr>
          <w:rFonts w:ascii="Arial" w:hAnsi="Arial" w:cs="Arial"/>
          <w:sz w:val="22"/>
          <w:szCs w:val="22"/>
        </w:rPr>
        <w:t xml:space="preserve"> % к их стоимости. Фактические платежи населения за 201</w:t>
      </w:r>
      <w:r>
        <w:rPr>
          <w:rFonts w:ascii="Arial" w:hAnsi="Arial" w:cs="Arial"/>
          <w:sz w:val="22"/>
          <w:szCs w:val="22"/>
        </w:rPr>
        <w:t>1</w:t>
      </w:r>
      <w:r w:rsidRPr="00407575">
        <w:rPr>
          <w:rFonts w:ascii="Arial" w:hAnsi="Arial" w:cs="Arial"/>
          <w:sz w:val="22"/>
          <w:szCs w:val="22"/>
        </w:rPr>
        <w:t xml:space="preserve"> год сложились в сумме </w:t>
      </w:r>
      <w:r>
        <w:rPr>
          <w:rFonts w:ascii="Arial" w:hAnsi="Arial" w:cs="Arial"/>
          <w:sz w:val="22"/>
          <w:szCs w:val="22"/>
        </w:rPr>
        <w:t>1060</w:t>
      </w:r>
      <w:r w:rsidRPr="00407575">
        <w:rPr>
          <w:rFonts w:ascii="Arial" w:hAnsi="Arial" w:cs="Arial"/>
          <w:sz w:val="22"/>
          <w:szCs w:val="22"/>
        </w:rPr>
        <w:t>,</w:t>
      </w:r>
      <w:r>
        <w:rPr>
          <w:rFonts w:ascii="Arial" w:hAnsi="Arial" w:cs="Arial"/>
          <w:sz w:val="22"/>
          <w:szCs w:val="22"/>
        </w:rPr>
        <w:t>47</w:t>
      </w:r>
      <w:r w:rsidRPr="00407575">
        <w:rPr>
          <w:rFonts w:ascii="Arial" w:hAnsi="Arial" w:cs="Arial"/>
          <w:sz w:val="22"/>
          <w:szCs w:val="22"/>
        </w:rPr>
        <w:t xml:space="preserve"> руб. на 1 человека в месяц (9</w:t>
      </w:r>
      <w:r>
        <w:rPr>
          <w:rFonts w:ascii="Arial" w:hAnsi="Arial" w:cs="Arial"/>
          <w:sz w:val="22"/>
          <w:szCs w:val="22"/>
        </w:rPr>
        <w:t>4</w:t>
      </w:r>
      <w:r w:rsidRPr="00407575">
        <w:rPr>
          <w:rFonts w:ascii="Arial" w:hAnsi="Arial" w:cs="Arial"/>
          <w:sz w:val="22"/>
          <w:szCs w:val="22"/>
        </w:rPr>
        <w:t>,</w:t>
      </w:r>
      <w:r>
        <w:rPr>
          <w:rFonts w:ascii="Arial" w:hAnsi="Arial" w:cs="Arial"/>
          <w:sz w:val="22"/>
          <w:szCs w:val="22"/>
        </w:rPr>
        <w:t>0</w:t>
      </w:r>
      <w:r w:rsidRPr="00407575">
        <w:rPr>
          <w:rFonts w:ascii="Arial" w:hAnsi="Arial" w:cs="Arial"/>
          <w:sz w:val="22"/>
          <w:szCs w:val="22"/>
        </w:rPr>
        <w:t xml:space="preserve">%  от стоимости).  </w:t>
      </w:r>
    </w:p>
    <w:p w:rsidR="0044009A" w:rsidRDefault="0044009A" w:rsidP="0044009A">
      <w:pPr>
        <w:rPr>
          <w:rFonts w:ascii="Arial" w:hAnsi="Arial" w:cs="Arial"/>
          <w:color w:val="FF0000"/>
          <w:sz w:val="22"/>
        </w:rPr>
      </w:pPr>
    </w:p>
    <w:p w:rsidR="0044009A" w:rsidRPr="00B37742" w:rsidRDefault="0044009A" w:rsidP="0044009A">
      <w:pPr>
        <w:pStyle w:val="1"/>
        <w:rPr>
          <w:color w:val="548DD4" w:themeColor="text2" w:themeTint="99"/>
        </w:rPr>
      </w:pPr>
      <w:bookmarkStart w:id="17" w:name="_Toc309826888"/>
      <w:bookmarkStart w:id="18" w:name="_Toc479998051"/>
      <w:bookmarkStart w:id="19" w:name="_Toc309826889"/>
      <w:r w:rsidRPr="00B37742">
        <w:rPr>
          <w:color w:val="548DD4" w:themeColor="text2" w:themeTint="99"/>
        </w:rPr>
        <w:lastRenderedPageBreak/>
        <w:t>ОБРАЗОВАНИЕ</w:t>
      </w:r>
      <w:bookmarkEnd w:id="17"/>
    </w:p>
    <w:p w:rsidR="0044009A" w:rsidRDefault="0044009A" w:rsidP="0044009A">
      <w:pPr>
        <w:pStyle w:val="21"/>
        <w:spacing w:line="240" w:lineRule="auto"/>
        <w:rPr>
          <w:rFonts w:cs="Arial"/>
          <w:sz w:val="22"/>
        </w:rPr>
      </w:pPr>
      <w:bookmarkStart w:id="20" w:name="_Toc479998050"/>
      <w:r>
        <w:rPr>
          <w:rFonts w:cs="Arial"/>
          <w:noProof/>
          <w:sz w:val="22"/>
        </w:rPr>
        <w:drawing>
          <wp:anchor distT="0" distB="0" distL="114300" distR="114300" simplePos="0" relativeHeight="251751424" behindDoc="0" locked="0" layoutInCell="1" allowOverlap="1">
            <wp:simplePos x="0" y="0"/>
            <wp:positionH relativeFrom="column">
              <wp:posOffset>-104775</wp:posOffset>
            </wp:positionH>
            <wp:positionV relativeFrom="paragraph">
              <wp:posOffset>156210</wp:posOffset>
            </wp:positionV>
            <wp:extent cx="1425575" cy="1222375"/>
            <wp:effectExtent l="19050" t="0" r="3175" b="0"/>
            <wp:wrapSquare wrapText="bothSides"/>
            <wp:docPr id="58" name="Рисунок 45" descr="образ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зование.jpg"/>
                    <pic:cNvPicPr/>
                  </pic:nvPicPr>
                  <pic:blipFill>
                    <a:blip r:embed="rId33"/>
                    <a:stretch>
                      <a:fillRect/>
                    </a:stretch>
                  </pic:blipFill>
                  <pic:spPr>
                    <a:xfrm>
                      <a:off x="0" y="0"/>
                      <a:ext cx="1425575" cy="1222375"/>
                    </a:xfrm>
                    <a:prstGeom prst="rect">
                      <a:avLst/>
                    </a:prstGeom>
                  </pic:spPr>
                </pic:pic>
              </a:graphicData>
            </a:graphic>
          </wp:anchor>
        </w:drawing>
      </w:r>
    </w:p>
    <w:bookmarkEnd w:id="18"/>
    <w:bookmarkEnd w:id="20"/>
    <w:p w:rsidR="0044009A" w:rsidRDefault="0044009A" w:rsidP="0044009A">
      <w:pPr>
        <w:pStyle w:val="21"/>
        <w:spacing w:line="240" w:lineRule="auto"/>
        <w:jc w:val="both"/>
        <w:rPr>
          <w:rFonts w:cs="Arial"/>
          <w:sz w:val="22"/>
        </w:rPr>
      </w:pPr>
      <w:r>
        <w:rPr>
          <w:rFonts w:cs="Arial"/>
          <w:sz w:val="22"/>
        </w:rPr>
        <w:t>В начале сороковых годов на территории Ульяновской области насчитывалась 851 начальная школа, 227 неполных средних и  79 средних школ. В них обучалось более 220 тысяч учащихся.</w:t>
      </w:r>
    </w:p>
    <w:p w:rsidR="0044009A" w:rsidRDefault="0044009A" w:rsidP="0044009A">
      <w:pPr>
        <w:pStyle w:val="21"/>
        <w:spacing w:line="240" w:lineRule="auto"/>
        <w:jc w:val="both"/>
        <w:rPr>
          <w:rFonts w:cs="Arial"/>
          <w:sz w:val="22"/>
        </w:rPr>
      </w:pPr>
      <w:r>
        <w:rPr>
          <w:rFonts w:cs="Arial"/>
          <w:sz w:val="22"/>
        </w:rPr>
        <w:t>В 1944/45 учебном году был осуществлен переход на обязательное обучение детей с 7-летнего возраста.</w:t>
      </w:r>
    </w:p>
    <w:p w:rsidR="0044009A" w:rsidRDefault="0044009A" w:rsidP="0044009A">
      <w:pPr>
        <w:pStyle w:val="21"/>
        <w:spacing w:line="240" w:lineRule="auto"/>
        <w:jc w:val="both"/>
        <w:rPr>
          <w:rFonts w:cs="Arial"/>
          <w:sz w:val="22"/>
        </w:rPr>
      </w:pPr>
      <w:r>
        <w:rPr>
          <w:rFonts w:cs="Arial"/>
          <w:sz w:val="22"/>
        </w:rPr>
        <w:t>В конце 50-х годов (в 1957/58 учебном году) дополнительно создается новый тип  учебно-воспитательных учрежд</w:t>
      </w:r>
      <w:r>
        <w:rPr>
          <w:rFonts w:cs="Arial"/>
          <w:sz w:val="22"/>
        </w:rPr>
        <w:t>е</w:t>
      </w:r>
      <w:r>
        <w:rPr>
          <w:rFonts w:cs="Arial"/>
          <w:sz w:val="22"/>
        </w:rPr>
        <w:t>ний – школы-интернаты, призванные решать задачи воспитания детей на более высоком уровне. На начало 1966/67 учебного года в области имелось 15 школ-интернатов, в которых обучалось 4,8 тыс. человек.</w:t>
      </w:r>
    </w:p>
    <w:p w:rsidR="0044009A" w:rsidRDefault="0044009A" w:rsidP="0044009A">
      <w:pPr>
        <w:pStyle w:val="21"/>
        <w:spacing w:line="240" w:lineRule="auto"/>
        <w:jc w:val="both"/>
        <w:rPr>
          <w:rFonts w:cs="Arial"/>
          <w:sz w:val="22"/>
        </w:rPr>
      </w:pPr>
      <w:r>
        <w:rPr>
          <w:rFonts w:cs="Arial"/>
          <w:sz w:val="22"/>
        </w:rPr>
        <w:t xml:space="preserve">Для получения образования молодежи без отрыва от производства введено и получило широкое распространение вечернее обучение через сеть школ рабочей и сельской молодежи. В 1966/67 учебном году контингент учащихся в этих школах увеличился против 1950/51 учебного года более чем вдвое и составил 19,4 тыс. человек. </w:t>
      </w:r>
    </w:p>
    <w:p w:rsidR="0044009A" w:rsidRDefault="0044009A" w:rsidP="0044009A">
      <w:pPr>
        <w:pStyle w:val="21"/>
        <w:spacing w:line="240" w:lineRule="auto"/>
        <w:ind w:firstLine="709"/>
        <w:jc w:val="both"/>
        <w:rPr>
          <w:rFonts w:cs="Arial"/>
          <w:sz w:val="22"/>
        </w:rPr>
      </w:pPr>
      <w:r>
        <w:rPr>
          <w:rFonts w:cs="Arial"/>
          <w:sz w:val="22"/>
        </w:rPr>
        <w:t>С 1959/60 учебного года введено всеобщее обязательное восьмилетнее образование, что привело к сокращению начальных школ и увеличению средних и неполных средних школ. К концу 60-х годов в области насчитывалось начальных школ – 445, неполных средних – 306 и средних школ – 229.</w:t>
      </w:r>
    </w:p>
    <w:p w:rsidR="0044009A" w:rsidRDefault="0044009A" w:rsidP="0044009A">
      <w:pPr>
        <w:pStyle w:val="21"/>
        <w:spacing w:line="240" w:lineRule="auto"/>
        <w:ind w:firstLine="709"/>
        <w:jc w:val="both"/>
        <w:rPr>
          <w:rFonts w:cs="Arial"/>
          <w:sz w:val="22"/>
        </w:rPr>
      </w:pPr>
      <w:r>
        <w:rPr>
          <w:rFonts w:cs="Arial"/>
          <w:sz w:val="22"/>
        </w:rPr>
        <w:t>В эти годы большой размах получило строительство школ. Только за пять лет (с 1961 по 1965 годы) в области было построено 158 школьных зданий. Намного увеличилось и число учащихся в средних школах. Если в 1950/51 учебном году обучалось около 42 тысяч детей, то к концу 60-х годов в средних школах насчитывалось уже свыше 150 тысяч учащихся.</w:t>
      </w:r>
    </w:p>
    <w:p w:rsidR="0044009A" w:rsidRDefault="0044009A" w:rsidP="0044009A">
      <w:pPr>
        <w:pStyle w:val="21"/>
        <w:spacing w:line="240" w:lineRule="auto"/>
        <w:ind w:firstLine="709"/>
        <w:jc w:val="both"/>
        <w:rPr>
          <w:rFonts w:cs="Arial"/>
          <w:sz w:val="22"/>
        </w:rPr>
      </w:pPr>
      <w:r>
        <w:rPr>
          <w:rFonts w:cs="Arial"/>
          <w:sz w:val="22"/>
        </w:rPr>
        <w:t xml:space="preserve">Начиная с 1995 года, наметилась тенденция сокращения численности учащихся по демографическому принципу. </w:t>
      </w:r>
    </w:p>
    <w:p w:rsidR="0044009A" w:rsidRDefault="0044009A" w:rsidP="0044009A">
      <w:pPr>
        <w:pStyle w:val="21"/>
        <w:spacing w:line="240" w:lineRule="auto"/>
        <w:ind w:firstLine="709"/>
        <w:jc w:val="both"/>
        <w:rPr>
          <w:rFonts w:cs="Arial"/>
          <w:sz w:val="22"/>
        </w:rPr>
      </w:pPr>
      <w:r>
        <w:rPr>
          <w:rFonts w:cs="Arial"/>
          <w:sz w:val="22"/>
        </w:rPr>
        <w:t>На начало 20</w:t>
      </w:r>
      <w:r w:rsidRPr="00BD3675">
        <w:rPr>
          <w:rFonts w:cs="Arial"/>
          <w:sz w:val="22"/>
        </w:rPr>
        <w:t>1</w:t>
      </w:r>
      <w:r>
        <w:rPr>
          <w:rFonts w:cs="Arial"/>
          <w:sz w:val="22"/>
        </w:rPr>
        <w:t>1/12 учебного года в Ульяновской области в 49</w:t>
      </w:r>
      <w:r w:rsidRPr="005D558C">
        <w:rPr>
          <w:rFonts w:cs="Arial"/>
          <w:sz w:val="22"/>
        </w:rPr>
        <w:t>7</w:t>
      </w:r>
      <w:r w:rsidRPr="006233BD">
        <w:rPr>
          <w:rFonts w:cs="Arial"/>
          <w:sz w:val="22"/>
        </w:rPr>
        <w:t>дневн</w:t>
      </w:r>
      <w:r>
        <w:rPr>
          <w:rFonts w:cs="Arial"/>
          <w:sz w:val="22"/>
        </w:rPr>
        <w:t>ыхобщеобразовательных школах обучалось 110,</w:t>
      </w:r>
      <w:r w:rsidRPr="005D558C">
        <w:rPr>
          <w:rFonts w:cs="Arial"/>
          <w:sz w:val="22"/>
        </w:rPr>
        <w:t>7</w:t>
      </w:r>
      <w:r>
        <w:rPr>
          <w:rFonts w:cs="Arial"/>
          <w:sz w:val="22"/>
        </w:rPr>
        <w:t xml:space="preserve"> тысяч ч</w:t>
      </w:r>
      <w:r>
        <w:rPr>
          <w:rFonts w:cs="Arial"/>
          <w:sz w:val="22"/>
        </w:rPr>
        <w:t>е</w:t>
      </w:r>
      <w:r>
        <w:rPr>
          <w:rFonts w:cs="Arial"/>
          <w:sz w:val="22"/>
        </w:rPr>
        <w:t>ловек. Во всех общеобразовательных учреждениях работают свыше десяти тысяч преподавателей.</w:t>
      </w:r>
    </w:p>
    <w:p w:rsidR="0044009A" w:rsidRDefault="0044009A" w:rsidP="0044009A">
      <w:pPr>
        <w:pStyle w:val="21"/>
        <w:spacing w:line="240" w:lineRule="auto"/>
        <w:ind w:firstLine="709"/>
        <w:jc w:val="both"/>
        <w:rPr>
          <w:rFonts w:cs="Arial"/>
          <w:sz w:val="22"/>
        </w:rPr>
      </w:pPr>
      <w:r>
        <w:rPr>
          <w:rFonts w:cs="Arial"/>
          <w:sz w:val="22"/>
        </w:rPr>
        <w:t xml:space="preserve"> В настоящее время в Российской Федерации осуществляются мероприятия по реформированию образования. Законом от 10 а</w:t>
      </w:r>
      <w:r>
        <w:rPr>
          <w:rFonts w:cs="Arial"/>
          <w:sz w:val="22"/>
        </w:rPr>
        <w:t>п</w:t>
      </w:r>
      <w:r>
        <w:rPr>
          <w:rFonts w:cs="Arial"/>
          <w:sz w:val="22"/>
        </w:rPr>
        <w:t>реля 2000 года №51-ФЗ утверждена программа развития образования, которая определяет стратегию приоритетного развития системы образования и меры по ее реализации.</w:t>
      </w:r>
    </w:p>
    <w:p w:rsidR="0044009A" w:rsidRDefault="0044009A" w:rsidP="0044009A">
      <w:pPr>
        <w:pStyle w:val="21"/>
        <w:spacing w:line="240" w:lineRule="auto"/>
        <w:ind w:firstLine="709"/>
        <w:jc w:val="both"/>
        <w:rPr>
          <w:rFonts w:cs="Arial"/>
          <w:sz w:val="22"/>
        </w:rPr>
      </w:pPr>
      <w:r>
        <w:rPr>
          <w:rFonts w:cs="Arial"/>
          <w:sz w:val="22"/>
        </w:rPr>
        <w:t>Ежегодно расширяется число инновационных образовательных учреждений. В 2011/12 учебном году образовательную деятел</w:t>
      </w:r>
      <w:r>
        <w:rPr>
          <w:rFonts w:cs="Arial"/>
          <w:sz w:val="22"/>
        </w:rPr>
        <w:t>ь</w:t>
      </w:r>
      <w:r>
        <w:rPr>
          <w:rFonts w:cs="Arial"/>
          <w:sz w:val="22"/>
        </w:rPr>
        <w:t>ность осуществляли 13 гимназий с численностью учащихся  10,5 тыс., 15 лицеев, в которых обучаются 10,8 тыс. учащихся, 2 общеобр</w:t>
      </w:r>
      <w:r>
        <w:rPr>
          <w:rFonts w:cs="Arial"/>
          <w:sz w:val="22"/>
        </w:rPr>
        <w:t>а</w:t>
      </w:r>
      <w:r>
        <w:rPr>
          <w:rFonts w:cs="Arial"/>
          <w:sz w:val="22"/>
        </w:rPr>
        <w:t>зовательные школы с углубленным изучением отдельных предметов (1,9 тыс. учащихся)</w:t>
      </w:r>
    </w:p>
    <w:p w:rsidR="0044009A" w:rsidRDefault="0044009A" w:rsidP="0044009A">
      <w:pPr>
        <w:pStyle w:val="21"/>
        <w:spacing w:line="240" w:lineRule="auto"/>
        <w:ind w:firstLine="709"/>
        <w:jc w:val="both"/>
        <w:rPr>
          <w:rFonts w:cs="Arial"/>
          <w:sz w:val="22"/>
        </w:rPr>
      </w:pPr>
      <w:r>
        <w:rPr>
          <w:rFonts w:cs="Arial"/>
          <w:sz w:val="22"/>
        </w:rPr>
        <w:t>В довоенное время на родине Ильича было единственное высшее учебное заведение – Ульяновский государственный педагог</w:t>
      </w:r>
      <w:r>
        <w:rPr>
          <w:rFonts w:cs="Arial"/>
          <w:sz w:val="22"/>
        </w:rPr>
        <w:t>и</w:t>
      </w:r>
      <w:r>
        <w:rPr>
          <w:rFonts w:cs="Arial"/>
          <w:sz w:val="22"/>
        </w:rPr>
        <w:t>ческий институт, открывшийся в октябре 1932 года.</w:t>
      </w:r>
    </w:p>
    <w:p w:rsidR="0044009A" w:rsidRDefault="0044009A" w:rsidP="0044009A">
      <w:pPr>
        <w:pStyle w:val="21"/>
        <w:spacing w:line="240" w:lineRule="auto"/>
        <w:ind w:firstLine="709"/>
        <w:jc w:val="both"/>
        <w:rPr>
          <w:rFonts w:cs="Arial"/>
          <w:sz w:val="22"/>
        </w:rPr>
      </w:pPr>
      <w:r>
        <w:rPr>
          <w:rFonts w:cs="Arial"/>
          <w:sz w:val="22"/>
        </w:rPr>
        <w:t xml:space="preserve">В 1940 году в Мелекессе был открыт учительский институт, преобразованный в 1954 году  </w:t>
      </w:r>
      <w:proofErr w:type="gramStart"/>
      <w:r>
        <w:rPr>
          <w:rFonts w:cs="Arial"/>
          <w:sz w:val="22"/>
        </w:rPr>
        <w:t>в</w:t>
      </w:r>
      <w:proofErr w:type="gramEnd"/>
      <w:r>
        <w:rPr>
          <w:rFonts w:cs="Arial"/>
          <w:sz w:val="22"/>
        </w:rPr>
        <w:t xml:space="preserve"> педагогический. В 1940/41 учебном году в педагогических учебных заведениях обучалось всего 1564 студента, в том  числе 954 - на дневных отделениях и 610 человек – заочно.</w:t>
      </w:r>
    </w:p>
    <w:p w:rsidR="0044009A" w:rsidRDefault="0044009A" w:rsidP="0044009A">
      <w:pPr>
        <w:pStyle w:val="21"/>
        <w:spacing w:line="240" w:lineRule="auto"/>
        <w:ind w:firstLine="709"/>
        <w:jc w:val="both"/>
        <w:rPr>
          <w:rFonts w:cs="Arial"/>
          <w:sz w:val="22"/>
        </w:rPr>
      </w:pPr>
      <w:r>
        <w:rPr>
          <w:rFonts w:cs="Arial"/>
          <w:sz w:val="22"/>
        </w:rPr>
        <w:t>В годы Великой Отечественной войны в Ульяновске основан сельскохозяйственный институт.</w:t>
      </w:r>
    </w:p>
    <w:p w:rsidR="0044009A" w:rsidRDefault="0044009A" w:rsidP="0044009A">
      <w:pPr>
        <w:pStyle w:val="21"/>
        <w:spacing w:line="240" w:lineRule="auto"/>
        <w:ind w:firstLine="709"/>
        <w:jc w:val="both"/>
        <w:rPr>
          <w:rFonts w:cs="Arial"/>
          <w:sz w:val="22"/>
        </w:rPr>
      </w:pPr>
      <w:r>
        <w:rPr>
          <w:rFonts w:cs="Arial"/>
          <w:sz w:val="22"/>
        </w:rPr>
        <w:t>В областном центре в 1957 году открылся вечерний политехнический институт, с 1962 года в нем начало работать дневное отд</w:t>
      </w:r>
      <w:r>
        <w:rPr>
          <w:rFonts w:cs="Arial"/>
          <w:sz w:val="22"/>
        </w:rPr>
        <w:t>е</w:t>
      </w:r>
      <w:r>
        <w:rPr>
          <w:rFonts w:cs="Arial"/>
          <w:sz w:val="22"/>
        </w:rPr>
        <w:t>ление.</w:t>
      </w:r>
    </w:p>
    <w:p w:rsidR="0044009A" w:rsidRDefault="0044009A" w:rsidP="0044009A">
      <w:pPr>
        <w:pStyle w:val="21"/>
        <w:spacing w:line="240" w:lineRule="auto"/>
        <w:ind w:firstLine="709"/>
        <w:jc w:val="both"/>
        <w:rPr>
          <w:rFonts w:cs="Arial"/>
          <w:sz w:val="22"/>
        </w:rPr>
      </w:pPr>
      <w:r>
        <w:rPr>
          <w:rFonts w:cs="Arial"/>
          <w:sz w:val="22"/>
        </w:rPr>
        <w:t>Самый молодой ВУЗ – Ульяновский государственный университет – открылся как филиал МГУ в 1988 году.</w:t>
      </w:r>
    </w:p>
    <w:p w:rsidR="0044009A" w:rsidRDefault="0044009A" w:rsidP="0044009A">
      <w:pPr>
        <w:pStyle w:val="21"/>
        <w:spacing w:line="240" w:lineRule="auto"/>
        <w:ind w:firstLine="709"/>
        <w:jc w:val="both"/>
        <w:rPr>
          <w:rFonts w:cs="Arial"/>
          <w:sz w:val="22"/>
        </w:rPr>
      </w:pPr>
      <w:r>
        <w:rPr>
          <w:rFonts w:cs="Arial"/>
          <w:sz w:val="22"/>
        </w:rPr>
        <w:t>В 1995 году Ульяно</w:t>
      </w:r>
      <w:proofErr w:type="gramStart"/>
      <w:r>
        <w:rPr>
          <w:rFonts w:cs="Arial"/>
          <w:sz w:val="22"/>
        </w:rPr>
        <w:t>вск ст</w:t>
      </w:r>
      <w:proofErr w:type="gramEnd"/>
      <w:r>
        <w:rPr>
          <w:rFonts w:cs="Arial"/>
          <w:sz w:val="22"/>
        </w:rPr>
        <w:t xml:space="preserve">ал  городом трех университетов и одной академии, в которые были преобразованы бывшие институты.  </w:t>
      </w:r>
    </w:p>
    <w:p w:rsidR="0044009A" w:rsidRDefault="0044009A" w:rsidP="00227D04">
      <w:pPr>
        <w:pStyle w:val="21"/>
        <w:spacing w:line="240" w:lineRule="exact"/>
        <w:ind w:firstLine="709"/>
        <w:jc w:val="both"/>
        <w:rPr>
          <w:rFonts w:cs="Arial"/>
          <w:sz w:val="22"/>
        </w:rPr>
      </w:pPr>
      <w:r>
        <w:rPr>
          <w:rFonts w:cs="Arial"/>
          <w:sz w:val="22"/>
        </w:rPr>
        <w:t>Особым  ВУЗом стала бывшая школа высшей летной подготовки (УВАУГА) гражданской авиации, готовящая как летчиков гра</w:t>
      </w:r>
      <w:r>
        <w:rPr>
          <w:rFonts w:cs="Arial"/>
          <w:sz w:val="22"/>
        </w:rPr>
        <w:t>ж</w:t>
      </w:r>
      <w:r>
        <w:rPr>
          <w:rFonts w:cs="Arial"/>
          <w:sz w:val="22"/>
        </w:rPr>
        <w:t>данской авиации, так и специалистов по обеспечению полетов.</w:t>
      </w:r>
    </w:p>
    <w:p w:rsidR="0044009A" w:rsidRDefault="0044009A" w:rsidP="00227D04">
      <w:pPr>
        <w:pStyle w:val="21"/>
        <w:spacing w:line="240" w:lineRule="exact"/>
        <w:ind w:firstLine="709"/>
        <w:jc w:val="both"/>
        <w:rPr>
          <w:rFonts w:cs="Arial"/>
          <w:sz w:val="22"/>
        </w:rPr>
      </w:pPr>
      <w:r>
        <w:rPr>
          <w:rFonts w:cs="Arial"/>
          <w:sz w:val="22"/>
        </w:rPr>
        <w:lastRenderedPageBreak/>
        <w:t>В настоящее время в Ульяновской области имеется пять самостоятельных высших учебных заведений и 12 филиалов ВУЗов (включая негосударственные). В них обучается 53,8 тыс. студентов, из которых 25,0 тыс. обучаются на очной форме обучения.</w:t>
      </w:r>
    </w:p>
    <w:p w:rsidR="0044009A" w:rsidRDefault="0044009A" w:rsidP="00227D04">
      <w:pPr>
        <w:pStyle w:val="21"/>
        <w:spacing w:line="240" w:lineRule="exact"/>
        <w:ind w:firstLine="709"/>
        <w:jc w:val="both"/>
        <w:rPr>
          <w:rFonts w:cs="Arial"/>
          <w:sz w:val="22"/>
        </w:rPr>
      </w:pPr>
      <w:r>
        <w:rPr>
          <w:rFonts w:cs="Arial"/>
          <w:sz w:val="22"/>
        </w:rPr>
        <w:t>Ежегодный выпуск специалистов из высших учебных заведений постоянно увеличивается. В 2011 году выпуск специалистов с</w:t>
      </w:r>
      <w:r>
        <w:rPr>
          <w:rFonts w:cs="Arial"/>
          <w:sz w:val="22"/>
        </w:rPr>
        <w:t>о</w:t>
      </w:r>
      <w:r>
        <w:rPr>
          <w:rFonts w:cs="Arial"/>
          <w:sz w:val="22"/>
        </w:rPr>
        <w:t>ставил 10,3 тысяч человек.</w:t>
      </w:r>
    </w:p>
    <w:p w:rsidR="0044009A" w:rsidRDefault="0044009A" w:rsidP="00227D04">
      <w:pPr>
        <w:pStyle w:val="21"/>
        <w:spacing w:line="240" w:lineRule="exact"/>
        <w:ind w:firstLine="709"/>
        <w:jc w:val="both"/>
        <w:rPr>
          <w:rFonts w:cs="Arial"/>
          <w:sz w:val="22"/>
        </w:rPr>
      </w:pPr>
      <w:r>
        <w:rPr>
          <w:rFonts w:cs="Arial"/>
          <w:sz w:val="22"/>
        </w:rPr>
        <w:t>В 1945 году в Ульяновской области насчитывалось 16 средних специальных учебных заведений, в которых обучалось 5,5 тысячи студентов. С тех пор количество средних учебных заведений и число учащихся постоянно растет. В 2011 году число средних специал</w:t>
      </w:r>
      <w:r>
        <w:rPr>
          <w:rFonts w:cs="Arial"/>
          <w:sz w:val="22"/>
        </w:rPr>
        <w:t>ь</w:t>
      </w:r>
      <w:r>
        <w:rPr>
          <w:rFonts w:cs="Arial"/>
          <w:sz w:val="22"/>
        </w:rPr>
        <w:t xml:space="preserve">ных учебных заведений составило 35 единиц с численностью обучающихся студентов 21,0 тыс. человек, в том числе 16,2 тыс. – на очной форме обучения, 0,7 тыс. – на очно-заочной и 4,1 тысяч – на заочной форме обучения. </w:t>
      </w:r>
    </w:p>
    <w:p w:rsidR="0044009A" w:rsidRPr="00685350" w:rsidRDefault="0044009A" w:rsidP="00227D04">
      <w:pPr>
        <w:pStyle w:val="21"/>
        <w:spacing w:line="240" w:lineRule="exact"/>
        <w:ind w:firstLine="709"/>
        <w:jc w:val="both"/>
        <w:rPr>
          <w:rFonts w:cs="Arial"/>
          <w:sz w:val="22"/>
        </w:rPr>
      </w:pPr>
      <w:r w:rsidRPr="00685350">
        <w:rPr>
          <w:rFonts w:cs="Arial"/>
          <w:sz w:val="22"/>
        </w:rPr>
        <w:t xml:space="preserve">За последние годы  средние специальные учебные заведения выпускают ежегодно свыше </w:t>
      </w:r>
      <w:r>
        <w:rPr>
          <w:rFonts w:cs="Arial"/>
          <w:sz w:val="22"/>
        </w:rPr>
        <w:t>6</w:t>
      </w:r>
      <w:r w:rsidRPr="00685350">
        <w:rPr>
          <w:rFonts w:cs="Arial"/>
          <w:sz w:val="22"/>
        </w:rPr>
        <w:t xml:space="preserve"> тыс. специалистов для различных о</w:t>
      </w:r>
      <w:r w:rsidRPr="00685350">
        <w:rPr>
          <w:rFonts w:cs="Arial"/>
          <w:sz w:val="22"/>
        </w:rPr>
        <w:t>т</w:t>
      </w:r>
      <w:r w:rsidRPr="00685350">
        <w:rPr>
          <w:rFonts w:cs="Arial"/>
          <w:sz w:val="22"/>
        </w:rPr>
        <w:t>раслей экономики. В 201</w:t>
      </w:r>
      <w:r>
        <w:rPr>
          <w:rFonts w:cs="Arial"/>
          <w:sz w:val="22"/>
        </w:rPr>
        <w:t>1</w:t>
      </w:r>
      <w:r w:rsidRPr="00685350">
        <w:rPr>
          <w:rFonts w:cs="Arial"/>
          <w:sz w:val="22"/>
        </w:rPr>
        <w:t xml:space="preserve"> году выпуск специалистов составил </w:t>
      </w:r>
      <w:r>
        <w:rPr>
          <w:rFonts w:cs="Arial"/>
          <w:sz w:val="22"/>
        </w:rPr>
        <w:t>6049</w:t>
      </w:r>
      <w:r w:rsidRPr="00685350">
        <w:rPr>
          <w:rFonts w:cs="Arial"/>
          <w:sz w:val="22"/>
        </w:rPr>
        <w:t xml:space="preserve"> человек.</w:t>
      </w:r>
    </w:p>
    <w:p w:rsidR="0044009A" w:rsidRPr="00E75D5C" w:rsidRDefault="0044009A" w:rsidP="00227D04">
      <w:pPr>
        <w:pStyle w:val="21"/>
        <w:spacing w:line="240" w:lineRule="exact"/>
        <w:ind w:firstLine="709"/>
        <w:jc w:val="both"/>
        <w:rPr>
          <w:rFonts w:cs="Arial"/>
          <w:sz w:val="22"/>
        </w:rPr>
      </w:pPr>
      <w:r w:rsidRPr="00E75D5C">
        <w:rPr>
          <w:rFonts w:cs="Arial"/>
          <w:sz w:val="22"/>
        </w:rPr>
        <w:t>В области достаточно большое значение имеет  начальное профессиональное образование. До 1958 года этим вопросом заним</w:t>
      </w:r>
      <w:r w:rsidRPr="00E75D5C">
        <w:rPr>
          <w:rFonts w:cs="Arial"/>
          <w:sz w:val="22"/>
        </w:rPr>
        <w:t>а</w:t>
      </w:r>
      <w:r w:rsidRPr="00E75D5C">
        <w:rPr>
          <w:rFonts w:cs="Arial"/>
          <w:sz w:val="22"/>
        </w:rPr>
        <w:t>лось областное управление трудовых резервов. В 1943 году в его ведении находилось 10 учебных заведений (одно ремесленное учил</w:t>
      </w:r>
      <w:r w:rsidRPr="00E75D5C">
        <w:rPr>
          <w:rFonts w:cs="Arial"/>
          <w:sz w:val="22"/>
        </w:rPr>
        <w:t>и</w:t>
      </w:r>
      <w:r w:rsidRPr="00E75D5C">
        <w:rPr>
          <w:rFonts w:cs="Arial"/>
          <w:sz w:val="22"/>
        </w:rPr>
        <w:t>ще, одно железнодорожное и восемь школ ФЗ</w:t>
      </w:r>
      <w:r>
        <w:rPr>
          <w:rFonts w:cs="Arial"/>
          <w:sz w:val="22"/>
        </w:rPr>
        <w:t>У</w:t>
      </w:r>
      <w:r w:rsidRPr="00E75D5C">
        <w:rPr>
          <w:rFonts w:cs="Arial"/>
          <w:sz w:val="22"/>
        </w:rPr>
        <w:t>).</w:t>
      </w:r>
    </w:p>
    <w:p w:rsidR="0044009A" w:rsidRPr="00E75D5C" w:rsidRDefault="0044009A" w:rsidP="00227D04">
      <w:pPr>
        <w:pStyle w:val="21"/>
        <w:spacing w:line="240" w:lineRule="exact"/>
        <w:ind w:firstLine="709"/>
        <w:jc w:val="both"/>
        <w:rPr>
          <w:rFonts w:cs="Arial"/>
          <w:sz w:val="22"/>
        </w:rPr>
      </w:pPr>
      <w:r w:rsidRPr="00E75D5C">
        <w:rPr>
          <w:rFonts w:cs="Arial"/>
          <w:sz w:val="22"/>
        </w:rPr>
        <w:t>За годы Великой Отечественной войны эти училища подготовили для народного хозяйства более 23 тысяч молодых квалифиц</w:t>
      </w:r>
      <w:r w:rsidRPr="00E75D5C">
        <w:rPr>
          <w:rFonts w:cs="Arial"/>
          <w:sz w:val="22"/>
        </w:rPr>
        <w:t>и</w:t>
      </w:r>
      <w:r w:rsidRPr="00E75D5C">
        <w:rPr>
          <w:rFonts w:cs="Arial"/>
          <w:sz w:val="22"/>
        </w:rPr>
        <w:t xml:space="preserve">рованных рабочих. </w:t>
      </w:r>
    </w:p>
    <w:p w:rsidR="0044009A" w:rsidRPr="00E75D5C" w:rsidRDefault="0044009A" w:rsidP="00227D04">
      <w:pPr>
        <w:pStyle w:val="21"/>
        <w:spacing w:line="240" w:lineRule="exact"/>
        <w:ind w:firstLine="709"/>
        <w:jc w:val="both"/>
        <w:rPr>
          <w:rFonts w:cs="Arial"/>
          <w:sz w:val="22"/>
        </w:rPr>
      </w:pPr>
      <w:r w:rsidRPr="00E75D5C">
        <w:rPr>
          <w:rFonts w:cs="Arial"/>
          <w:sz w:val="22"/>
        </w:rPr>
        <w:t>В 1954 году создаются технические училища для подготовки из числа выпускников средней школы квалифицированных рабочих  по профессиям, требующим более высокого общеобразовательного уровня.</w:t>
      </w:r>
    </w:p>
    <w:p w:rsidR="0044009A" w:rsidRPr="00E75D5C" w:rsidRDefault="0044009A" w:rsidP="00227D04">
      <w:pPr>
        <w:pStyle w:val="21"/>
        <w:spacing w:line="240" w:lineRule="exact"/>
        <w:ind w:firstLine="709"/>
        <w:jc w:val="both"/>
        <w:rPr>
          <w:rFonts w:cs="Arial"/>
          <w:sz w:val="22"/>
        </w:rPr>
      </w:pPr>
      <w:r w:rsidRPr="00E75D5C">
        <w:rPr>
          <w:rFonts w:cs="Arial"/>
          <w:sz w:val="22"/>
        </w:rPr>
        <w:t>В 1958 году на базе управления трудовых резервов образовано управление профессионально-технического образования.</w:t>
      </w:r>
    </w:p>
    <w:p w:rsidR="0044009A" w:rsidRPr="00E75D5C" w:rsidRDefault="0044009A" w:rsidP="00227D04">
      <w:pPr>
        <w:pStyle w:val="21"/>
        <w:spacing w:line="240" w:lineRule="exact"/>
        <w:ind w:firstLine="709"/>
        <w:jc w:val="both"/>
        <w:rPr>
          <w:rFonts w:cs="Arial"/>
          <w:sz w:val="22"/>
        </w:rPr>
      </w:pPr>
      <w:r w:rsidRPr="00E75D5C">
        <w:rPr>
          <w:rFonts w:cs="Arial"/>
          <w:sz w:val="22"/>
        </w:rPr>
        <w:t>В 1960 году в его ведении находилось 16 училищ с общим контингентом 4,8 тыс. человек. Стало больше уделяться внимания укреплению учебно-производственной  базы.</w:t>
      </w:r>
    </w:p>
    <w:p w:rsidR="0044009A" w:rsidRPr="00E75D5C" w:rsidRDefault="0044009A" w:rsidP="00227D04">
      <w:pPr>
        <w:pStyle w:val="21"/>
        <w:spacing w:line="240" w:lineRule="exact"/>
        <w:ind w:firstLine="709"/>
        <w:jc w:val="both"/>
        <w:rPr>
          <w:rFonts w:cs="Arial"/>
          <w:sz w:val="22"/>
        </w:rPr>
      </w:pPr>
      <w:r w:rsidRPr="00E75D5C">
        <w:rPr>
          <w:rFonts w:cs="Arial"/>
          <w:sz w:val="22"/>
        </w:rPr>
        <w:t xml:space="preserve">С 1969 года  в профтехучилищах наряду с профессиональной подготовкой, учащиеся получают среднее образование. </w:t>
      </w:r>
    </w:p>
    <w:p w:rsidR="0044009A" w:rsidRPr="00E75D5C" w:rsidRDefault="0044009A" w:rsidP="00227D04">
      <w:pPr>
        <w:pStyle w:val="21"/>
        <w:spacing w:line="240" w:lineRule="exact"/>
        <w:ind w:firstLine="709"/>
        <w:jc w:val="both"/>
        <w:rPr>
          <w:rFonts w:cs="Arial"/>
          <w:sz w:val="22"/>
        </w:rPr>
      </w:pPr>
      <w:r w:rsidRPr="00E75D5C">
        <w:rPr>
          <w:rFonts w:cs="Arial"/>
          <w:sz w:val="22"/>
        </w:rPr>
        <w:t>С 1990 года происходит сокращение численности квалифицированных рабочих, подготовленных училищами начального профе</w:t>
      </w:r>
      <w:r w:rsidRPr="00E75D5C">
        <w:rPr>
          <w:rFonts w:cs="Arial"/>
          <w:sz w:val="22"/>
        </w:rPr>
        <w:t>с</w:t>
      </w:r>
      <w:r w:rsidRPr="00E75D5C">
        <w:rPr>
          <w:rFonts w:cs="Arial"/>
          <w:sz w:val="22"/>
        </w:rPr>
        <w:t xml:space="preserve">сионального образования. </w:t>
      </w:r>
    </w:p>
    <w:p w:rsidR="0044009A" w:rsidRPr="00E75D5C" w:rsidRDefault="0044009A" w:rsidP="00227D04">
      <w:pPr>
        <w:pStyle w:val="21"/>
        <w:spacing w:line="240" w:lineRule="exact"/>
        <w:ind w:firstLine="709"/>
        <w:jc w:val="both"/>
        <w:rPr>
          <w:rFonts w:cs="Arial"/>
          <w:sz w:val="22"/>
        </w:rPr>
      </w:pPr>
      <w:r w:rsidRPr="00E75D5C">
        <w:rPr>
          <w:rFonts w:cs="Arial"/>
          <w:sz w:val="22"/>
        </w:rPr>
        <w:t xml:space="preserve">В последнее время в области наблюдался процесс реорганизации учреждений начального профессионального образования в средние специальные учебные заведения. </w:t>
      </w:r>
    </w:p>
    <w:p w:rsidR="0044009A" w:rsidRPr="00E75D5C" w:rsidRDefault="0044009A" w:rsidP="00227D04">
      <w:pPr>
        <w:pStyle w:val="21"/>
        <w:spacing w:line="240" w:lineRule="exact"/>
        <w:ind w:firstLine="709"/>
        <w:jc w:val="both"/>
        <w:rPr>
          <w:rFonts w:cs="Arial"/>
          <w:sz w:val="22"/>
        </w:rPr>
      </w:pPr>
      <w:proofErr w:type="gramStart"/>
      <w:r w:rsidRPr="00E75D5C">
        <w:rPr>
          <w:rFonts w:cs="Arial"/>
          <w:sz w:val="22"/>
        </w:rPr>
        <w:t>Начиная с 2001 года 11 профтехучилищ начального профессионального образования реорганизованы в средние</w:t>
      </w:r>
      <w:proofErr w:type="gramEnd"/>
      <w:r w:rsidRPr="00E75D5C">
        <w:rPr>
          <w:rFonts w:cs="Arial"/>
          <w:sz w:val="22"/>
        </w:rPr>
        <w:t xml:space="preserve"> специальные учебные заведения. Несмотря на реорганизацию, выпуск квалифицированных рабочих остаётся на уровне выпуска 2000 года (в 2000г. –  6559 человек, в 2007г. –  6447 человек). </w:t>
      </w:r>
    </w:p>
    <w:p w:rsidR="0044009A" w:rsidRPr="00E75D5C" w:rsidRDefault="0044009A" w:rsidP="00227D04">
      <w:pPr>
        <w:pStyle w:val="21"/>
        <w:spacing w:line="240" w:lineRule="exact"/>
        <w:ind w:firstLine="709"/>
        <w:jc w:val="both"/>
        <w:rPr>
          <w:rFonts w:cs="Arial"/>
          <w:sz w:val="22"/>
        </w:rPr>
      </w:pPr>
      <w:r w:rsidRPr="00E75D5C">
        <w:rPr>
          <w:rFonts w:cs="Arial"/>
          <w:sz w:val="22"/>
        </w:rPr>
        <w:t>В 20</w:t>
      </w:r>
      <w:r>
        <w:rPr>
          <w:rFonts w:cs="Arial"/>
          <w:sz w:val="22"/>
        </w:rPr>
        <w:t>11</w:t>
      </w:r>
      <w:r w:rsidRPr="00E75D5C">
        <w:rPr>
          <w:rFonts w:cs="Arial"/>
          <w:sz w:val="22"/>
        </w:rPr>
        <w:t xml:space="preserve"> году в области действовало 3</w:t>
      </w:r>
      <w:r>
        <w:rPr>
          <w:rFonts w:cs="Arial"/>
          <w:sz w:val="22"/>
        </w:rPr>
        <w:t>6</w:t>
      </w:r>
      <w:r w:rsidRPr="00E75D5C">
        <w:rPr>
          <w:rFonts w:cs="Arial"/>
          <w:sz w:val="22"/>
        </w:rPr>
        <w:t xml:space="preserve"> учреждений, реализующих программу начального профессионального обра</w:t>
      </w:r>
      <w:r>
        <w:rPr>
          <w:rFonts w:cs="Arial"/>
          <w:sz w:val="22"/>
        </w:rPr>
        <w:t>зования, в кот</w:t>
      </w:r>
      <w:r>
        <w:rPr>
          <w:rFonts w:cs="Arial"/>
          <w:sz w:val="22"/>
        </w:rPr>
        <w:t>о</w:t>
      </w:r>
      <w:r>
        <w:rPr>
          <w:rFonts w:cs="Arial"/>
          <w:sz w:val="22"/>
        </w:rPr>
        <w:t>рых обучалось 7,6</w:t>
      </w:r>
      <w:r w:rsidRPr="00E75D5C">
        <w:rPr>
          <w:rFonts w:cs="Arial"/>
          <w:sz w:val="22"/>
        </w:rPr>
        <w:t xml:space="preserve"> тысяч человек. За этот год ими подготовлено (выпущено) 5,</w:t>
      </w:r>
      <w:r>
        <w:rPr>
          <w:rFonts w:cs="Arial"/>
          <w:sz w:val="22"/>
        </w:rPr>
        <w:t>8</w:t>
      </w:r>
      <w:r w:rsidRPr="00E75D5C">
        <w:rPr>
          <w:rFonts w:cs="Arial"/>
          <w:sz w:val="22"/>
        </w:rPr>
        <w:t xml:space="preserve"> тыс. квалифицированных рабочих кадров. </w:t>
      </w:r>
    </w:p>
    <w:p w:rsidR="0044009A" w:rsidRPr="00E75D5C" w:rsidRDefault="0044009A" w:rsidP="00227D04">
      <w:pPr>
        <w:pStyle w:val="21"/>
        <w:spacing w:line="240" w:lineRule="exact"/>
        <w:ind w:firstLine="709"/>
        <w:jc w:val="both"/>
        <w:rPr>
          <w:rFonts w:cs="Arial"/>
          <w:sz w:val="22"/>
        </w:rPr>
      </w:pPr>
      <w:r w:rsidRPr="00E75D5C">
        <w:rPr>
          <w:rFonts w:cs="Arial"/>
          <w:sz w:val="22"/>
        </w:rPr>
        <w:t>Большое</w:t>
      </w:r>
      <w:r w:rsidR="00917E0E">
        <w:rPr>
          <w:rFonts w:cs="Arial"/>
          <w:sz w:val="22"/>
        </w:rPr>
        <w:t xml:space="preserve"> </w:t>
      </w:r>
      <w:r w:rsidRPr="00E75D5C">
        <w:rPr>
          <w:rFonts w:cs="Arial"/>
          <w:sz w:val="22"/>
        </w:rPr>
        <w:t>внимание уделялось в нашей области детским дошкольным учреждениям. В 1940 году число детских садов и яслей с</w:t>
      </w:r>
      <w:r w:rsidRPr="00E75D5C">
        <w:rPr>
          <w:rFonts w:cs="Arial"/>
          <w:sz w:val="22"/>
        </w:rPr>
        <w:t>о</w:t>
      </w:r>
      <w:r w:rsidRPr="00E75D5C">
        <w:rPr>
          <w:rFonts w:cs="Arial"/>
          <w:sz w:val="22"/>
        </w:rPr>
        <w:t>ставляло всего 97 единиц, в которых находилось более четырех тысяч детей.</w:t>
      </w:r>
    </w:p>
    <w:p w:rsidR="0044009A" w:rsidRPr="00AE7B93" w:rsidRDefault="0044009A" w:rsidP="00227D04">
      <w:pPr>
        <w:pStyle w:val="21"/>
        <w:spacing w:line="240" w:lineRule="exact"/>
        <w:ind w:firstLine="709"/>
        <w:jc w:val="both"/>
        <w:rPr>
          <w:rFonts w:cs="Arial"/>
          <w:sz w:val="22"/>
          <w:szCs w:val="22"/>
        </w:rPr>
      </w:pPr>
      <w:r w:rsidRPr="00AE7B93">
        <w:rPr>
          <w:rFonts w:cs="Arial"/>
          <w:sz w:val="22"/>
          <w:szCs w:val="22"/>
        </w:rPr>
        <w:t>К началу 90-х годов в 921 дошкольном образовательном учреждении воспитывалось уже 87 тыс. детей дошкольного возраста. По сравнению с послевоенным периодом число детских садов увеличилось в 4 раза, а численность детей, посещающих их  –  в 7 раз.</w:t>
      </w:r>
    </w:p>
    <w:p w:rsidR="0044009A" w:rsidRPr="00AE7B93" w:rsidRDefault="0044009A" w:rsidP="00227D04">
      <w:pPr>
        <w:pStyle w:val="21"/>
        <w:spacing w:line="240" w:lineRule="exact"/>
        <w:ind w:firstLine="709"/>
        <w:jc w:val="both"/>
        <w:rPr>
          <w:rFonts w:cs="Arial"/>
          <w:sz w:val="22"/>
          <w:szCs w:val="22"/>
        </w:rPr>
      </w:pPr>
      <w:r w:rsidRPr="00AE7B93">
        <w:rPr>
          <w:rFonts w:cs="Arial"/>
          <w:sz w:val="22"/>
          <w:szCs w:val="22"/>
        </w:rPr>
        <w:t>События, происходящие в экономике и социальной жизни России и Ульяновской области, сказались и на дошкольных образов</w:t>
      </w:r>
      <w:r w:rsidRPr="00AE7B93">
        <w:rPr>
          <w:rFonts w:cs="Arial"/>
          <w:sz w:val="22"/>
          <w:szCs w:val="22"/>
        </w:rPr>
        <w:t>а</w:t>
      </w:r>
      <w:r w:rsidRPr="00AE7B93">
        <w:rPr>
          <w:rFonts w:cs="Arial"/>
          <w:sz w:val="22"/>
          <w:szCs w:val="22"/>
        </w:rPr>
        <w:t>тел</w:t>
      </w:r>
      <w:r>
        <w:rPr>
          <w:rFonts w:cs="Arial"/>
          <w:sz w:val="22"/>
          <w:szCs w:val="22"/>
        </w:rPr>
        <w:t>ьных учреждениях. На начало 2012</w:t>
      </w:r>
      <w:r w:rsidRPr="00AE7B93">
        <w:rPr>
          <w:rFonts w:cs="Arial"/>
          <w:sz w:val="22"/>
          <w:szCs w:val="22"/>
        </w:rPr>
        <w:t xml:space="preserve"> года в области  работало 38</w:t>
      </w:r>
      <w:r>
        <w:rPr>
          <w:rFonts w:cs="Arial"/>
          <w:sz w:val="22"/>
          <w:szCs w:val="22"/>
        </w:rPr>
        <w:t>2 дошкольных учреждения</w:t>
      </w:r>
      <w:r w:rsidRPr="00AE7B93">
        <w:rPr>
          <w:rFonts w:cs="Arial"/>
          <w:sz w:val="22"/>
          <w:szCs w:val="22"/>
        </w:rPr>
        <w:t>, в которых воспитывалось 4</w:t>
      </w:r>
      <w:r>
        <w:rPr>
          <w:rFonts w:cs="Arial"/>
          <w:sz w:val="22"/>
          <w:szCs w:val="22"/>
        </w:rPr>
        <w:t>4,2</w:t>
      </w:r>
      <w:r w:rsidRPr="00AE7B93">
        <w:rPr>
          <w:rFonts w:cs="Arial"/>
          <w:sz w:val="22"/>
          <w:szCs w:val="22"/>
        </w:rPr>
        <w:t xml:space="preserve"> тыс. детей. По сравнению с 2000г. численность </w:t>
      </w:r>
      <w:proofErr w:type="gramStart"/>
      <w:r w:rsidRPr="00AE7B93">
        <w:rPr>
          <w:rFonts w:cs="Arial"/>
          <w:sz w:val="22"/>
          <w:szCs w:val="22"/>
        </w:rPr>
        <w:t>детей, посещающих детские сады возросла</w:t>
      </w:r>
      <w:proofErr w:type="gramEnd"/>
      <w:r w:rsidRPr="00AE7B93">
        <w:rPr>
          <w:rFonts w:cs="Arial"/>
          <w:sz w:val="22"/>
          <w:szCs w:val="22"/>
        </w:rPr>
        <w:t xml:space="preserve"> на </w:t>
      </w:r>
      <w:r>
        <w:rPr>
          <w:rFonts w:cs="Arial"/>
          <w:sz w:val="22"/>
          <w:szCs w:val="22"/>
        </w:rPr>
        <w:t>22,1</w:t>
      </w:r>
      <w:r w:rsidRPr="00AE7B93">
        <w:rPr>
          <w:rFonts w:cs="Arial"/>
          <w:sz w:val="22"/>
          <w:szCs w:val="22"/>
        </w:rPr>
        <w:t xml:space="preserve">%. </w:t>
      </w:r>
    </w:p>
    <w:p w:rsidR="00227D04" w:rsidRDefault="00227D04">
      <w:pPr>
        <w:rPr>
          <w:rStyle w:val="afe"/>
          <w:rFonts w:ascii="Arial" w:hAnsi="Arial" w:cs="Arial"/>
          <w:sz w:val="22"/>
        </w:rPr>
      </w:pPr>
      <w:r>
        <w:rPr>
          <w:rStyle w:val="afe"/>
          <w:b w:val="0"/>
        </w:rPr>
        <w:br w:type="page"/>
      </w:r>
    </w:p>
    <w:p w:rsidR="0044009A" w:rsidRDefault="0044009A" w:rsidP="0044009A">
      <w:pPr>
        <w:pStyle w:val="35"/>
        <w:rPr>
          <w:rStyle w:val="afe"/>
          <w:b/>
        </w:rPr>
      </w:pPr>
      <w:r w:rsidRPr="00102DFB">
        <w:rPr>
          <w:rStyle w:val="afe"/>
          <w:b/>
        </w:rPr>
        <w:lastRenderedPageBreak/>
        <w:t>ДОШКОЛЬНЫЕ ОБРАЗОВАТЕЛЬНЫЕ УЧРЕЖДЕНИЯ</w:t>
      </w:r>
    </w:p>
    <w:p w:rsidR="00A062B3" w:rsidRPr="00102DFB" w:rsidRDefault="00A062B3" w:rsidP="0044009A">
      <w:pPr>
        <w:pStyle w:val="35"/>
        <w:rPr>
          <w:rStyle w:val="afe"/>
          <w:b/>
        </w:rPr>
      </w:pPr>
    </w:p>
    <w:tbl>
      <w:tblPr>
        <w:tblStyle w:val="-11"/>
        <w:tblW w:w="5000" w:type="pct"/>
        <w:tblLook w:val="0000" w:firstRow="0" w:lastRow="0" w:firstColumn="0" w:lastColumn="0" w:noHBand="0" w:noVBand="0"/>
      </w:tblPr>
      <w:tblGrid>
        <w:gridCol w:w="3149"/>
        <w:gridCol w:w="946"/>
        <w:gridCol w:w="946"/>
        <w:gridCol w:w="946"/>
        <w:gridCol w:w="946"/>
        <w:gridCol w:w="949"/>
        <w:gridCol w:w="949"/>
        <w:gridCol w:w="949"/>
        <w:gridCol w:w="946"/>
        <w:gridCol w:w="946"/>
        <w:gridCol w:w="946"/>
        <w:gridCol w:w="949"/>
        <w:gridCol w:w="937"/>
      </w:tblGrid>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86" w:type="pct"/>
            <w:shd w:val="clear" w:color="auto" w:fill="C6D9F1" w:themeFill="text2" w:themeFillTint="33"/>
          </w:tcPr>
          <w:p w:rsidR="0044009A" w:rsidRPr="0053759F" w:rsidRDefault="0044009A" w:rsidP="0044009A">
            <w:pPr>
              <w:spacing w:before="60" w:after="60"/>
              <w:ind w:right="-55"/>
              <w:jc w:val="center"/>
              <w:rPr>
                <w:rFonts w:ascii="Arial" w:hAnsi="Arial" w:cs="Arial"/>
                <w:sz w:val="18"/>
                <w:szCs w:val="18"/>
              </w:rPr>
            </w:pPr>
          </w:p>
        </w:tc>
        <w:tc>
          <w:tcPr>
            <w:tcW w:w="326"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1945</w:t>
            </w:r>
          </w:p>
        </w:tc>
        <w:tc>
          <w:tcPr>
            <w:cnfStyle w:val="000010000000" w:firstRow="0" w:lastRow="0" w:firstColumn="0" w:lastColumn="0" w:oddVBand="1" w:evenVBand="0" w:oddHBand="0" w:evenHBand="0" w:firstRowFirstColumn="0" w:firstRowLastColumn="0" w:lastRowFirstColumn="0" w:lastRowLastColumn="0"/>
            <w:tcW w:w="32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1950</w:t>
            </w:r>
          </w:p>
        </w:tc>
        <w:tc>
          <w:tcPr>
            <w:tcW w:w="326"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1955</w:t>
            </w:r>
          </w:p>
        </w:tc>
        <w:tc>
          <w:tcPr>
            <w:cnfStyle w:val="000010000000" w:firstRow="0" w:lastRow="0" w:firstColumn="0" w:lastColumn="0" w:oddVBand="1" w:evenVBand="0" w:oddHBand="0" w:evenHBand="0" w:firstRowFirstColumn="0" w:firstRowLastColumn="0" w:lastRowFirstColumn="0" w:lastRowLastColumn="0"/>
            <w:tcW w:w="32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1960</w:t>
            </w:r>
          </w:p>
        </w:tc>
        <w:tc>
          <w:tcPr>
            <w:tcW w:w="32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1965</w:t>
            </w:r>
          </w:p>
        </w:tc>
        <w:tc>
          <w:tcPr>
            <w:cnfStyle w:val="000010000000" w:firstRow="0" w:lastRow="0" w:firstColumn="0" w:lastColumn="0" w:oddVBand="1" w:evenVBand="0" w:oddHBand="0" w:evenHBand="0" w:firstRowFirstColumn="0" w:firstRowLastColumn="0" w:lastRowFirstColumn="0" w:lastRowLastColumn="0"/>
            <w:tcW w:w="327"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1970</w:t>
            </w:r>
          </w:p>
        </w:tc>
        <w:tc>
          <w:tcPr>
            <w:tcW w:w="32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1975</w:t>
            </w:r>
          </w:p>
        </w:tc>
        <w:tc>
          <w:tcPr>
            <w:cnfStyle w:val="000010000000" w:firstRow="0" w:lastRow="0" w:firstColumn="0" w:lastColumn="0" w:oddVBand="1" w:evenVBand="0" w:oddHBand="0" w:evenHBand="0" w:firstRowFirstColumn="0" w:firstRowLastColumn="0" w:lastRowFirstColumn="0" w:lastRowLastColumn="0"/>
            <w:tcW w:w="32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1980</w:t>
            </w:r>
          </w:p>
        </w:tc>
        <w:tc>
          <w:tcPr>
            <w:tcW w:w="326"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1985</w:t>
            </w:r>
          </w:p>
        </w:tc>
        <w:tc>
          <w:tcPr>
            <w:cnfStyle w:val="000010000000" w:firstRow="0" w:lastRow="0" w:firstColumn="0" w:lastColumn="0" w:oddVBand="1" w:evenVBand="0" w:oddHBand="0" w:evenHBand="0" w:firstRowFirstColumn="0" w:firstRowLastColumn="0" w:lastRowFirstColumn="0" w:lastRowLastColumn="0"/>
            <w:tcW w:w="326"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1990</w:t>
            </w:r>
          </w:p>
        </w:tc>
        <w:tc>
          <w:tcPr>
            <w:tcW w:w="32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323"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201</w:t>
            </w:r>
            <w:r>
              <w:rPr>
                <w:rFonts w:ascii="Arial" w:hAnsi="Arial" w:cs="Arial"/>
                <w:sz w:val="18"/>
                <w:szCs w:val="18"/>
              </w:rPr>
              <w:t>1</w:t>
            </w:r>
          </w:p>
        </w:tc>
      </w:tr>
      <w:tr w:rsidR="0044009A" w:rsidRPr="0053759F" w:rsidTr="0044009A">
        <w:trPr>
          <w:trHeight w:val="521"/>
        </w:trPr>
        <w:tc>
          <w:tcPr>
            <w:cnfStyle w:val="000010000000" w:firstRow="0" w:lastRow="0" w:firstColumn="0" w:lastColumn="0" w:oddVBand="1" w:evenVBand="0" w:oddHBand="0" w:evenHBand="0" w:firstRowFirstColumn="0" w:firstRowLastColumn="0" w:lastRowFirstColumn="0" w:lastRowLastColumn="0"/>
            <w:tcW w:w="1086" w:type="pct"/>
          </w:tcPr>
          <w:p w:rsidR="0044009A" w:rsidRPr="0053759F" w:rsidRDefault="0044009A" w:rsidP="0044009A">
            <w:pPr>
              <w:spacing w:before="20" w:after="20"/>
              <w:ind w:right="-55"/>
              <w:rPr>
                <w:rFonts w:ascii="Arial" w:hAnsi="Arial" w:cs="Arial"/>
                <w:sz w:val="18"/>
                <w:szCs w:val="18"/>
              </w:rPr>
            </w:pPr>
            <w:r w:rsidRPr="0053759F">
              <w:rPr>
                <w:rFonts w:ascii="Arial" w:hAnsi="Arial" w:cs="Arial"/>
                <w:sz w:val="18"/>
                <w:szCs w:val="18"/>
              </w:rPr>
              <w:t>Число дошкольных  образовател</w:t>
            </w:r>
            <w:r w:rsidRPr="0053759F">
              <w:rPr>
                <w:rFonts w:ascii="Arial" w:hAnsi="Arial" w:cs="Arial"/>
                <w:sz w:val="18"/>
                <w:szCs w:val="18"/>
              </w:rPr>
              <w:t>ь</w:t>
            </w:r>
            <w:r w:rsidRPr="0053759F">
              <w:rPr>
                <w:rFonts w:ascii="Arial" w:hAnsi="Arial" w:cs="Arial"/>
                <w:sz w:val="18"/>
                <w:szCs w:val="18"/>
              </w:rPr>
              <w:t>ных учреждений – всего, единиц</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229</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Pr>
                <w:rFonts w:ascii="Arial" w:hAnsi="Arial" w:cs="Arial"/>
                <w:sz w:val="18"/>
                <w:szCs w:val="18"/>
              </w:rPr>
              <w:t>220</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246</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294</w:t>
            </w:r>
          </w:p>
        </w:tc>
        <w:tc>
          <w:tcPr>
            <w:tcW w:w="327"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391</w:t>
            </w:r>
          </w:p>
        </w:tc>
        <w:tc>
          <w:tcPr>
            <w:cnfStyle w:val="000010000000" w:firstRow="0" w:lastRow="0" w:firstColumn="0" w:lastColumn="0" w:oddVBand="1" w:evenVBand="0" w:oddHBand="0" w:evenHBand="0" w:firstRowFirstColumn="0" w:firstRowLastColumn="0" w:lastRowFirstColumn="0" w:lastRowLastColumn="0"/>
            <w:tcW w:w="327"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487</w:t>
            </w:r>
          </w:p>
        </w:tc>
        <w:tc>
          <w:tcPr>
            <w:tcW w:w="327"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557</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643</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754</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921</w:t>
            </w:r>
          </w:p>
        </w:tc>
        <w:tc>
          <w:tcPr>
            <w:tcW w:w="327"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493</w:t>
            </w:r>
          </w:p>
        </w:tc>
        <w:tc>
          <w:tcPr>
            <w:cnfStyle w:val="000010000000" w:firstRow="0" w:lastRow="0" w:firstColumn="0" w:lastColumn="0" w:oddVBand="1" w:evenVBand="0" w:oddHBand="0" w:evenHBand="0" w:firstRowFirstColumn="0" w:firstRowLastColumn="0" w:lastRowFirstColumn="0" w:lastRowLastColumn="0"/>
            <w:tcW w:w="323" w:type="pct"/>
            <w:vAlign w:val="bottom"/>
          </w:tcPr>
          <w:p w:rsidR="0044009A" w:rsidRPr="007F1BFF" w:rsidRDefault="0044009A" w:rsidP="0044009A">
            <w:pPr>
              <w:spacing w:before="20" w:after="20"/>
              <w:ind w:right="113"/>
              <w:jc w:val="right"/>
              <w:rPr>
                <w:rFonts w:ascii="Arial" w:hAnsi="Arial" w:cs="Arial"/>
                <w:sz w:val="18"/>
                <w:szCs w:val="18"/>
              </w:rPr>
            </w:pPr>
            <w:r>
              <w:rPr>
                <w:rFonts w:ascii="Arial" w:hAnsi="Arial" w:cs="Arial"/>
                <w:sz w:val="18"/>
                <w:szCs w:val="18"/>
              </w:rPr>
              <w:t>382</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86" w:type="pct"/>
          </w:tcPr>
          <w:p w:rsidR="0044009A" w:rsidRPr="0053759F" w:rsidRDefault="0044009A" w:rsidP="0044009A">
            <w:pPr>
              <w:spacing w:before="20" w:after="20"/>
              <w:ind w:left="142" w:right="-55"/>
              <w:rPr>
                <w:rFonts w:ascii="Arial" w:hAnsi="Arial" w:cs="Arial"/>
                <w:sz w:val="18"/>
                <w:szCs w:val="18"/>
              </w:rPr>
            </w:pPr>
            <w:r w:rsidRPr="0053759F">
              <w:rPr>
                <w:rFonts w:ascii="Arial" w:hAnsi="Arial" w:cs="Arial"/>
                <w:sz w:val="18"/>
                <w:szCs w:val="18"/>
              </w:rPr>
              <w:t>из них в сельских поселениях</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111</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Pr>
                <w:rFonts w:ascii="Arial" w:hAnsi="Arial" w:cs="Arial"/>
                <w:sz w:val="18"/>
                <w:szCs w:val="18"/>
              </w:rPr>
              <w:t>95</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107</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115</w:t>
            </w:r>
          </w:p>
        </w:tc>
        <w:tc>
          <w:tcPr>
            <w:tcW w:w="327"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154</w:t>
            </w:r>
          </w:p>
        </w:tc>
        <w:tc>
          <w:tcPr>
            <w:cnfStyle w:val="000010000000" w:firstRow="0" w:lastRow="0" w:firstColumn="0" w:lastColumn="0" w:oddVBand="1" w:evenVBand="0" w:oddHBand="0" w:evenHBand="0" w:firstRowFirstColumn="0" w:firstRowLastColumn="0" w:lastRowFirstColumn="0" w:lastRowLastColumn="0"/>
            <w:tcW w:w="327"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200</w:t>
            </w:r>
          </w:p>
        </w:tc>
        <w:tc>
          <w:tcPr>
            <w:tcW w:w="327"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242</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309</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397</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485</w:t>
            </w:r>
          </w:p>
        </w:tc>
        <w:tc>
          <w:tcPr>
            <w:tcW w:w="327"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222</w:t>
            </w:r>
          </w:p>
        </w:tc>
        <w:tc>
          <w:tcPr>
            <w:cnfStyle w:val="000010000000" w:firstRow="0" w:lastRow="0" w:firstColumn="0" w:lastColumn="0" w:oddVBand="1" w:evenVBand="0" w:oddHBand="0" w:evenHBand="0" w:firstRowFirstColumn="0" w:firstRowLastColumn="0" w:lastRowFirstColumn="0" w:lastRowLastColumn="0"/>
            <w:tcW w:w="323" w:type="pct"/>
            <w:vAlign w:val="bottom"/>
          </w:tcPr>
          <w:p w:rsidR="0044009A" w:rsidRPr="007F1BFF" w:rsidRDefault="0044009A" w:rsidP="0044009A">
            <w:pPr>
              <w:spacing w:before="20" w:after="20"/>
              <w:ind w:right="113"/>
              <w:jc w:val="right"/>
              <w:rPr>
                <w:rFonts w:ascii="Arial" w:hAnsi="Arial" w:cs="Arial"/>
                <w:sz w:val="18"/>
                <w:szCs w:val="18"/>
              </w:rPr>
            </w:pPr>
            <w:r>
              <w:rPr>
                <w:rFonts w:ascii="Arial" w:hAnsi="Arial" w:cs="Arial"/>
                <w:sz w:val="18"/>
                <w:szCs w:val="18"/>
              </w:rPr>
              <w:t>136</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86" w:type="pct"/>
          </w:tcPr>
          <w:p w:rsidR="0044009A" w:rsidRPr="0053759F" w:rsidRDefault="0044009A" w:rsidP="0044009A">
            <w:pPr>
              <w:spacing w:before="20" w:after="20"/>
              <w:ind w:right="-55"/>
              <w:rPr>
                <w:rFonts w:ascii="Arial" w:hAnsi="Arial" w:cs="Arial"/>
                <w:sz w:val="18"/>
                <w:szCs w:val="18"/>
              </w:rPr>
            </w:pPr>
            <w:r w:rsidRPr="0053759F">
              <w:rPr>
                <w:rFonts w:ascii="Arial" w:hAnsi="Arial" w:cs="Arial"/>
                <w:sz w:val="18"/>
                <w:szCs w:val="18"/>
              </w:rPr>
              <w:t>Численность детей, посещающих дошкольные учреждения – всего, человек</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11742</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Pr>
                <w:rFonts w:ascii="Arial" w:hAnsi="Arial" w:cs="Arial"/>
                <w:sz w:val="18"/>
                <w:szCs w:val="18"/>
              </w:rPr>
              <w:t>8940</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11124</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17321</w:t>
            </w:r>
          </w:p>
        </w:tc>
        <w:tc>
          <w:tcPr>
            <w:tcW w:w="327"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32250</w:t>
            </w:r>
          </w:p>
        </w:tc>
        <w:tc>
          <w:tcPr>
            <w:cnfStyle w:val="000010000000" w:firstRow="0" w:lastRow="0" w:firstColumn="0" w:lastColumn="0" w:oddVBand="1" w:evenVBand="0" w:oddHBand="0" w:evenHBand="0" w:firstRowFirstColumn="0" w:firstRowLastColumn="0" w:lastRowFirstColumn="0" w:lastRowLastColumn="0"/>
            <w:tcW w:w="327"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41398</w:t>
            </w:r>
          </w:p>
        </w:tc>
        <w:tc>
          <w:tcPr>
            <w:tcW w:w="327"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48340</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62632</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76292</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87006</w:t>
            </w:r>
          </w:p>
        </w:tc>
        <w:tc>
          <w:tcPr>
            <w:tcW w:w="327"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36154</w:t>
            </w:r>
          </w:p>
        </w:tc>
        <w:tc>
          <w:tcPr>
            <w:cnfStyle w:val="000010000000" w:firstRow="0" w:lastRow="0" w:firstColumn="0" w:lastColumn="0" w:oddVBand="1" w:evenVBand="0" w:oddHBand="0" w:evenHBand="0" w:firstRowFirstColumn="0" w:firstRowLastColumn="0" w:lastRowFirstColumn="0" w:lastRowLastColumn="0"/>
            <w:tcW w:w="323" w:type="pct"/>
            <w:vAlign w:val="bottom"/>
          </w:tcPr>
          <w:p w:rsidR="0044009A" w:rsidRPr="007F1BFF" w:rsidRDefault="0044009A" w:rsidP="0044009A">
            <w:pPr>
              <w:spacing w:before="20" w:after="20"/>
              <w:ind w:right="113"/>
              <w:jc w:val="right"/>
              <w:rPr>
                <w:rFonts w:ascii="Arial" w:hAnsi="Arial" w:cs="Arial"/>
                <w:sz w:val="18"/>
                <w:szCs w:val="18"/>
              </w:rPr>
            </w:pPr>
            <w:r>
              <w:rPr>
                <w:rFonts w:ascii="Arial" w:hAnsi="Arial" w:cs="Arial"/>
                <w:sz w:val="18"/>
                <w:szCs w:val="18"/>
              </w:rPr>
              <w:t>44161</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86" w:type="pct"/>
          </w:tcPr>
          <w:p w:rsidR="0044009A" w:rsidRPr="0053759F" w:rsidRDefault="0044009A" w:rsidP="0044009A">
            <w:pPr>
              <w:spacing w:before="20" w:after="20"/>
              <w:ind w:left="142" w:right="-55"/>
              <w:rPr>
                <w:rFonts w:ascii="Arial" w:hAnsi="Arial" w:cs="Arial"/>
                <w:sz w:val="18"/>
                <w:szCs w:val="18"/>
              </w:rPr>
            </w:pPr>
            <w:r w:rsidRPr="0053759F">
              <w:rPr>
                <w:rFonts w:ascii="Arial" w:hAnsi="Arial" w:cs="Arial"/>
                <w:sz w:val="18"/>
                <w:szCs w:val="18"/>
              </w:rPr>
              <w:t>из них сельские дошкольные учреждения</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4013</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Pr>
                <w:rFonts w:ascii="Arial" w:hAnsi="Arial" w:cs="Arial"/>
                <w:sz w:val="18"/>
                <w:szCs w:val="18"/>
              </w:rPr>
              <w:t>2436</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2772</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3547</w:t>
            </w:r>
          </w:p>
        </w:tc>
        <w:tc>
          <w:tcPr>
            <w:tcW w:w="327"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6050</w:t>
            </w:r>
          </w:p>
        </w:tc>
        <w:tc>
          <w:tcPr>
            <w:cnfStyle w:val="000010000000" w:firstRow="0" w:lastRow="0" w:firstColumn="0" w:lastColumn="0" w:oddVBand="1" w:evenVBand="0" w:oddHBand="0" w:evenHBand="0" w:firstRowFirstColumn="0" w:firstRowLastColumn="0" w:lastRowFirstColumn="0" w:lastRowLastColumn="0"/>
            <w:tcW w:w="327"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7352</w:t>
            </w:r>
          </w:p>
        </w:tc>
        <w:tc>
          <w:tcPr>
            <w:tcW w:w="327"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9197</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13881</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17994</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21413</w:t>
            </w:r>
          </w:p>
        </w:tc>
        <w:tc>
          <w:tcPr>
            <w:tcW w:w="327"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5997</w:t>
            </w:r>
          </w:p>
        </w:tc>
        <w:tc>
          <w:tcPr>
            <w:cnfStyle w:val="000010000000" w:firstRow="0" w:lastRow="0" w:firstColumn="0" w:lastColumn="0" w:oddVBand="1" w:evenVBand="0" w:oddHBand="0" w:evenHBand="0" w:firstRowFirstColumn="0" w:firstRowLastColumn="0" w:lastRowFirstColumn="0" w:lastRowLastColumn="0"/>
            <w:tcW w:w="323" w:type="pct"/>
            <w:vAlign w:val="bottom"/>
          </w:tcPr>
          <w:p w:rsidR="0044009A" w:rsidRPr="007F1BFF" w:rsidRDefault="0044009A" w:rsidP="0044009A">
            <w:pPr>
              <w:spacing w:before="20" w:after="20"/>
              <w:ind w:right="113"/>
              <w:jc w:val="right"/>
              <w:rPr>
                <w:rFonts w:ascii="Arial" w:hAnsi="Arial" w:cs="Arial"/>
                <w:sz w:val="18"/>
                <w:szCs w:val="18"/>
              </w:rPr>
            </w:pPr>
            <w:r>
              <w:rPr>
                <w:rFonts w:ascii="Arial" w:hAnsi="Arial" w:cs="Arial"/>
                <w:sz w:val="18"/>
                <w:szCs w:val="18"/>
              </w:rPr>
              <w:t>6349</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86" w:type="pct"/>
          </w:tcPr>
          <w:p w:rsidR="0044009A" w:rsidRPr="0053759F" w:rsidRDefault="0044009A" w:rsidP="0044009A">
            <w:pPr>
              <w:spacing w:before="20" w:after="20"/>
              <w:ind w:right="-55"/>
              <w:rPr>
                <w:rFonts w:ascii="Arial" w:hAnsi="Arial" w:cs="Arial"/>
                <w:sz w:val="18"/>
                <w:szCs w:val="18"/>
              </w:rPr>
            </w:pPr>
            <w:r w:rsidRPr="0053759F">
              <w:rPr>
                <w:rFonts w:ascii="Arial" w:hAnsi="Arial" w:cs="Arial"/>
                <w:sz w:val="18"/>
                <w:szCs w:val="18"/>
              </w:rPr>
              <w:t>В дошкольных учреждениях на 100 мест приходится детей – всего, человек</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2F0606" w:rsidRDefault="0044009A" w:rsidP="0044009A">
            <w:pPr>
              <w:spacing w:before="20" w:after="20"/>
              <w:ind w:right="113"/>
              <w:jc w:val="right"/>
              <w:rPr>
                <w:rFonts w:ascii="Arial" w:hAnsi="Arial" w:cs="Arial"/>
                <w:sz w:val="18"/>
                <w:szCs w:val="18"/>
              </w:rPr>
            </w:pPr>
            <w:r>
              <w:rPr>
                <w:rFonts w:ascii="Arial" w:hAnsi="Arial" w:cs="Arial"/>
                <w:sz w:val="18"/>
                <w:szCs w:val="18"/>
              </w:rPr>
              <w:t>…</w:t>
            </w:r>
          </w:p>
        </w:tc>
        <w:tc>
          <w:tcPr>
            <w:tcW w:w="326" w:type="pct"/>
            <w:vAlign w:val="bottom"/>
          </w:tcPr>
          <w:p w:rsidR="0044009A" w:rsidRPr="002F0606"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w:t>
            </w:r>
          </w:p>
        </w:tc>
        <w:tc>
          <w:tcPr>
            <w:tcW w:w="327" w:type="pct"/>
            <w:vAlign w:val="bottom"/>
          </w:tcPr>
          <w:p w:rsidR="0044009A" w:rsidRPr="002F0606"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7" w:type="pct"/>
            <w:vAlign w:val="bottom"/>
          </w:tcPr>
          <w:p w:rsidR="0044009A" w:rsidRPr="0053759F" w:rsidRDefault="0044009A" w:rsidP="0044009A">
            <w:pPr>
              <w:spacing w:before="20" w:after="20"/>
              <w:ind w:right="113"/>
              <w:jc w:val="right"/>
              <w:rPr>
                <w:rFonts w:ascii="Arial" w:hAnsi="Arial" w:cs="Arial"/>
                <w:sz w:val="18"/>
                <w:szCs w:val="18"/>
              </w:rPr>
            </w:pPr>
            <w:r>
              <w:rPr>
                <w:rFonts w:ascii="Arial" w:hAnsi="Arial" w:cs="Arial"/>
                <w:sz w:val="18"/>
                <w:szCs w:val="18"/>
              </w:rPr>
              <w:t>…</w:t>
            </w:r>
          </w:p>
        </w:tc>
        <w:tc>
          <w:tcPr>
            <w:tcW w:w="327" w:type="pct"/>
            <w:vAlign w:val="bottom"/>
          </w:tcPr>
          <w:p w:rsidR="0044009A" w:rsidRPr="0013699C"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109</w:t>
            </w:r>
          </w:p>
        </w:tc>
        <w:tc>
          <w:tcPr>
            <w:tcW w:w="326"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105</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113</w:t>
            </w:r>
          </w:p>
        </w:tc>
        <w:tc>
          <w:tcPr>
            <w:tcW w:w="327" w:type="pct"/>
            <w:vAlign w:val="bottom"/>
          </w:tcPr>
          <w:p w:rsidR="0044009A" w:rsidRPr="0053759F" w:rsidRDefault="0044009A" w:rsidP="0044009A">
            <w:pPr>
              <w:spacing w:before="20" w:after="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74</w:t>
            </w:r>
          </w:p>
        </w:tc>
        <w:tc>
          <w:tcPr>
            <w:cnfStyle w:val="000010000000" w:firstRow="0" w:lastRow="0" w:firstColumn="0" w:lastColumn="0" w:oddVBand="1" w:evenVBand="0" w:oddHBand="0" w:evenHBand="0" w:firstRowFirstColumn="0" w:firstRowLastColumn="0" w:lastRowFirstColumn="0" w:lastRowLastColumn="0"/>
            <w:tcW w:w="323" w:type="pct"/>
            <w:vAlign w:val="bottom"/>
          </w:tcPr>
          <w:p w:rsidR="0044009A" w:rsidRPr="007F1BFF" w:rsidRDefault="0044009A" w:rsidP="0044009A">
            <w:pPr>
              <w:spacing w:before="20" w:after="20"/>
              <w:ind w:right="113"/>
              <w:jc w:val="right"/>
              <w:rPr>
                <w:rFonts w:ascii="Arial" w:hAnsi="Arial" w:cs="Arial"/>
                <w:sz w:val="18"/>
                <w:szCs w:val="18"/>
              </w:rPr>
            </w:pPr>
            <w:r>
              <w:rPr>
                <w:rFonts w:ascii="Arial" w:hAnsi="Arial" w:cs="Arial"/>
                <w:sz w:val="18"/>
                <w:szCs w:val="18"/>
              </w:rPr>
              <w:t>108</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86" w:type="pct"/>
          </w:tcPr>
          <w:p w:rsidR="0044009A" w:rsidRPr="0053759F" w:rsidRDefault="0044009A" w:rsidP="0044009A">
            <w:pPr>
              <w:spacing w:before="20" w:after="20"/>
              <w:ind w:left="142" w:right="-55"/>
              <w:rPr>
                <w:rFonts w:ascii="Arial" w:hAnsi="Arial" w:cs="Arial"/>
                <w:sz w:val="18"/>
                <w:szCs w:val="18"/>
              </w:rPr>
            </w:pPr>
            <w:r w:rsidRPr="0053759F">
              <w:rPr>
                <w:rFonts w:ascii="Arial" w:hAnsi="Arial" w:cs="Arial"/>
                <w:sz w:val="18"/>
                <w:szCs w:val="18"/>
              </w:rPr>
              <w:t>в том числе в сельских дошкол</w:t>
            </w:r>
            <w:r w:rsidRPr="0053759F">
              <w:rPr>
                <w:rFonts w:ascii="Arial" w:hAnsi="Arial" w:cs="Arial"/>
                <w:sz w:val="18"/>
                <w:szCs w:val="18"/>
              </w:rPr>
              <w:t>ь</w:t>
            </w:r>
            <w:r w:rsidRPr="0053759F">
              <w:rPr>
                <w:rFonts w:ascii="Arial" w:hAnsi="Arial" w:cs="Arial"/>
                <w:sz w:val="18"/>
                <w:szCs w:val="18"/>
              </w:rPr>
              <w:t>ных учреждениях</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2F0606" w:rsidRDefault="0044009A" w:rsidP="0044009A">
            <w:pPr>
              <w:spacing w:before="20" w:after="20"/>
              <w:ind w:right="113"/>
              <w:jc w:val="right"/>
              <w:rPr>
                <w:rFonts w:ascii="Arial" w:hAnsi="Arial" w:cs="Arial"/>
                <w:sz w:val="18"/>
                <w:szCs w:val="18"/>
              </w:rPr>
            </w:pPr>
            <w:r>
              <w:rPr>
                <w:rFonts w:ascii="Arial" w:hAnsi="Arial" w:cs="Arial"/>
                <w:sz w:val="18"/>
                <w:szCs w:val="18"/>
              </w:rPr>
              <w:t>…</w:t>
            </w:r>
          </w:p>
        </w:tc>
        <w:tc>
          <w:tcPr>
            <w:tcW w:w="326" w:type="pct"/>
            <w:vAlign w:val="bottom"/>
          </w:tcPr>
          <w:p w:rsidR="0044009A" w:rsidRPr="002F0606"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w:t>
            </w:r>
          </w:p>
        </w:tc>
        <w:tc>
          <w:tcPr>
            <w:tcW w:w="327" w:type="pct"/>
            <w:vAlign w:val="bottom"/>
          </w:tcPr>
          <w:p w:rsidR="0044009A" w:rsidRPr="002F0606"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7" w:type="pct"/>
            <w:vAlign w:val="bottom"/>
          </w:tcPr>
          <w:p w:rsidR="0044009A" w:rsidRPr="0013699C" w:rsidRDefault="0044009A" w:rsidP="0044009A">
            <w:pPr>
              <w:spacing w:before="20" w:after="20"/>
              <w:ind w:right="113"/>
              <w:jc w:val="right"/>
              <w:rPr>
                <w:rFonts w:ascii="Arial" w:hAnsi="Arial" w:cs="Arial"/>
                <w:sz w:val="18"/>
                <w:szCs w:val="18"/>
              </w:rPr>
            </w:pPr>
            <w:r>
              <w:rPr>
                <w:rFonts w:ascii="Arial" w:hAnsi="Arial" w:cs="Arial"/>
                <w:sz w:val="18"/>
                <w:szCs w:val="18"/>
              </w:rPr>
              <w:t>…</w:t>
            </w:r>
          </w:p>
        </w:tc>
        <w:tc>
          <w:tcPr>
            <w:tcW w:w="327" w:type="pct"/>
            <w:vAlign w:val="bottom"/>
          </w:tcPr>
          <w:p w:rsidR="0044009A" w:rsidRPr="0013699C"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87</w:t>
            </w:r>
          </w:p>
        </w:tc>
        <w:tc>
          <w:tcPr>
            <w:tcW w:w="326"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82</w:t>
            </w:r>
          </w:p>
        </w:tc>
        <w:tc>
          <w:tcPr>
            <w:cnfStyle w:val="000010000000" w:firstRow="0" w:lastRow="0" w:firstColumn="0" w:lastColumn="0" w:oddVBand="1" w:evenVBand="0" w:oddHBand="0" w:evenHBand="0" w:firstRowFirstColumn="0" w:firstRowLastColumn="0" w:lastRowFirstColumn="0" w:lastRowLastColumn="0"/>
            <w:tcW w:w="326" w:type="pct"/>
            <w:vAlign w:val="bottom"/>
          </w:tcPr>
          <w:p w:rsidR="0044009A" w:rsidRPr="0053759F" w:rsidRDefault="0044009A" w:rsidP="0044009A">
            <w:pPr>
              <w:spacing w:before="20" w:after="20"/>
              <w:ind w:right="113"/>
              <w:jc w:val="right"/>
              <w:rPr>
                <w:rFonts w:ascii="Arial" w:hAnsi="Arial" w:cs="Arial"/>
                <w:sz w:val="18"/>
                <w:szCs w:val="18"/>
              </w:rPr>
            </w:pPr>
            <w:r w:rsidRPr="0053759F">
              <w:rPr>
                <w:rFonts w:ascii="Arial" w:hAnsi="Arial" w:cs="Arial"/>
                <w:sz w:val="18"/>
                <w:szCs w:val="18"/>
              </w:rPr>
              <w:t>95</w:t>
            </w:r>
          </w:p>
        </w:tc>
        <w:tc>
          <w:tcPr>
            <w:tcW w:w="327" w:type="pct"/>
            <w:vAlign w:val="bottom"/>
          </w:tcPr>
          <w:p w:rsidR="0044009A" w:rsidRPr="0053759F" w:rsidRDefault="0044009A" w:rsidP="0044009A">
            <w:pPr>
              <w:spacing w:before="20" w:after="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52</w:t>
            </w:r>
          </w:p>
        </w:tc>
        <w:tc>
          <w:tcPr>
            <w:cnfStyle w:val="000010000000" w:firstRow="0" w:lastRow="0" w:firstColumn="0" w:lastColumn="0" w:oddVBand="1" w:evenVBand="0" w:oddHBand="0" w:evenHBand="0" w:firstRowFirstColumn="0" w:firstRowLastColumn="0" w:lastRowFirstColumn="0" w:lastRowLastColumn="0"/>
            <w:tcW w:w="323" w:type="pct"/>
            <w:vAlign w:val="bottom"/>
          </w:tcPr>
          <w:p w:rsidR="0044009A" w:rsidRPr="007D4379" w:rsidRDefault="0044009A" w:rsidP="0044009A">
            <w:pPr>
              <w:spacing w:before="20" w:after="20"/>
              <w:ind w:right="113"/>
              <w:jc w:val="right"/>
              <w:rPr>
                <w:rFonts w:ascii="Arial" w:hAnsi="Arial" w:cs="Arial"/>
                <w:sz w:val="18"/>
                <w:szCs w:val="18"/>
              </w:rPr>
            </w:pPr>
            <w:r>
              <w:rPr>
                <w:rFonts w:ascii="Arial" w:hAnsi="Arial" w:cs="Arial"/>
                <w:sz w:val="18"/>
                <w:szCs w:val="18"/>
              </w:rPr>
              <w:t>76</w:t>
            </w:r>
          </w:p>
        </w:tc>
      </w:tr>
    </w:tbl>
    <w:p w:rsidR="0044009A" w:rsidRDefault="0044009A" w:rsidP="0044009A">
      <w:pPr>
        <w:pStyle w:val="8"/>
        <w:rPr>
          <w:sz w:val="22"/>
        </w:rPr>
      </w:pPr>
      <w:r>
        <w:rPr>
          <w:sz w:val="22"/>
        </w:rPr>
        <w:t>ОБЩЕОБРАЗОВАТЕЛЬНЫЕ УЧРЕЖДЕНИЯ</w:t>
      </w:r>
    </w:p>
    <w:p w:rsidR="0044009A" w:rsidRDefault="0044009A" w:rsidP="0044009A">
      <w:pPr>
        <w:ind w:left="284" w:right="-85"/>
        <w:jc w:val="center"/>
        <w:rPr>
          <w:rFonts w:ascii="Arial" w:hAnsi="Arial" w:cs="Arial"/>
          <w:sz w:val="22"/>
        </w:rPr>
      </w:pPr>
      <w:r>
        <w:rPr>
          <w:rFonts w:ascii="Arial" w:hAnsi="Arial" w:cs="Arial"/>
          <w:sz w:val="22"/>
        </w:rPr>
        <w:t>(единиц)</w:t>
      </w:r>
    </w:p>
    <w:tbl>
      <w:tblPr>
        <w:tblStyle w:val="-11"/>
        <w:tblW w:w="5000" w:type="pct"/>
        <w:tblLook w:val="0000" w:firstRow="0" w:lastRow="0" w:firstColumn="0" w:lastColumn="0" w:noHBand="0" w:noVBand="0"/>
      </w:tblPr>
      <w:tblGrid>
        <w:gridCol w:w="2990"/>
        <w:gridCol w:w="774"/>
        <w:gridCol w:w="977"/>
        <w:gridCol w:w="977"/>
        <w:gridCol w:w="977"/>
        <w:gridCol w:w="978"/>
        <w:gridCol w:w="978"/>
        <w:gridCol w:w="978"/>
        <w:gridCol w:w="978"/>
        <w:gridCol w:w="978"/>
        <w:gridCol w:w="978"/>
        <w:gridCol w:w="978"/>
        <w:gridCol w:w="963"/>
      </w:tblGrid>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p>
        </w:tc>
        <w:tc>
          <w:tcPr>
            <w:tcW w:w="26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1945</w:t>
            </w:r>
          </w:p>
        </w:tc>
        <w:tc>
          <w:tcPr>
            <w:cnfStyle w:val="000010000000" w:firstRow="0" w:lastRow="0" w:firstColumn="0" w:lastColumn="0" w:oddVBand="1" w:evenVBand="0" w:oddHBand="0" w:evenHBand="0" w:firstRowFirstColumn="0" w:firstRowLastColumn="0" w:lastRowFirstColumn="0" w:lastRowLastColumn="0"/>
            <w:tcW w:w="337"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1950</w:t>
            </w:r>
          </w:p>
        </w:tc>
        <w:tc>
          <w:tcPr>
            <w:tcW w:w="33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1955</w:t>
            </w:r>
          </w:p>
        </w:tc>
        <w:tc>
          <w:tcPr>
            <w:cnfStyle w:val="000010000000" w:firstRow="0" w:lastRow="0" w:firstColumn="0" w:lastColumn="0" w:oddVBand="1" w:evenVBand="0" w:oddHBand="0" w:evenHBand="0" w:firstRowFirstColumn="0" w:firstRowLastColumn="0" w:lastRowFirstColumn="0" w:lastRowLastColumn="0"/>
            <w:tcW w:w="337"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1960</w:t>
            </w:r>
          </w:p>
        </w:tc>
        <w:tc>
          <w:tcPr>
            <w:tcW w:w="33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1965</w:t>
            </w:r>
          </w:p>
        </w:tc>
        <w:tc>
          <w:tcPr>
            <w:cnfStyle w:val="000010000000" w:firstRow="0" w:lastRow="0" w:firstColumn="0" w:lastColumn="0" w:oddVBand="1" w:evenVBand="0" w:oddHBand="0" w:evenHBand="0" w:firstRowFirstColumn="0" w:firstRowLastColumn="0" w:lastRowFirstColumn="0" w:lastRowLastColumn="0"/>
            <w:tcW w:w="337"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1970</w:t>
            </w:r>
          </w:p>
        </w:tc>
        <w:tc>
          <w:tcPr>
            <w:tcW w:w="33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1975</w:t>
            </w:r>
          </w:p>
        </w:tc>
        <w:tc>
          <w:tcPr>
            <w:cnfStyle w:val="000010000000" w:firstRow="0" w:lastRow="0" w:firstColumn="0" w:lastColumn="0" w:oddVBand="1" w:evenVBand="0" w:oddHBand="0" w:evenHBand="0" w:firstRowFirstColumn="0" w:firstRowLastColumn="0" w:lastRowFirstColumn="0" w:lastRowLastColumn="0"/>
            <w:tcW w:w="337"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1980</w:t>
            </w:r>
          </w:p>
        </w:tc>
        <w:tc>
          <w:tcPr>
            <w:tcW w:w="33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1985</w:t>
            </w:r>
          </w:p>
        </w:tc>
        <w:tc>
          <w:tcPr>
            <w:cnfStyle w:val="000010000000" w:firstRow="0" w:lastRow="0" w:firstColumn="0" w:lastColumn="0" w:oddVBand="1" w:evenVBand="0" w:oddHBand="0" w:evenHBand="0" w:firstRowFirstColumn="0" w:firstRowLastColumn="0" w:lastRowFirstColumn="0" w:lastRowLastColumn="0"/>
            <w:tcW w:w="337"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1990</w:t>
            </w:r>
          </w:p>
        </w:tc>
        <w:tc>
          <w:tcPr>
            <w:tcW w:w="337" w:type="pct"/>
            <w:shd w:val="clear" w:color="auto" w:fill="C6D9F1" w:themeFill="text2" w:themeFillTint="33"/>
          </w:tcPr>
          <w:p w:rsidR="0044009A" w:rsidRPr="0053759F" w:rsidRDefault="0044009A" w:rsidP="0044009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332" w:type="pct"/>
            <w:shd w:val="clear" w:color="auto" w:fill="C6D9F1" w:themeFill="text2" w:themeFillTint="33"/>
          </w:tcPr>
          <w:p w:rsidR="0044009A" w:rsidRPr="0053759F" w:rsidRDefault="0044009A" w:rsidP="0044009A">
            <w:pPr>
              <w:spacing w:before="60" w:after="60"/>
              <w:jc w:val="center"/>
              <w:rPr>
                <w:rFonts w:ascii="Arial" w:hAnsi="Arial" w:cs="Arial"/>
                <w:sz w:val="18"/>
                <w:szCs w:val="18"/>
              </w:rPr>
            </w:pPr>
            <w:r w:rsidRPr="0053759F">
              <w:rPr>
                <w:rFonts w:ascii="Arial" w:hAnsi="Arial" w:cs="Arial"/>
                <w:sz w:val="18"/>
                <w:szCs w:val="18"/>
              </w:rPr>
              <w:t>201</w:t>
            </w:r>
            <w:r>
              <w:rPr>
                <w:rFonts w:ascii="Arial" w:hAnsi="Arial" w:cs="Arial"/>
                <w:sz w:val="18"/>
                <w:szCs w:val="18"/>
              </w:rPr>
              <w:t>1</w:t>
            </w:r>
          </w:p>
        </w:tc>
      </w:tr>
      <w:tr w:rsidR="0044009A" w:rsidRPr="0053759F" w:rsidTr="0044009A">
        <w:trPr>
          <w:trHeight w:val="521"/>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rPr>
                <w:rFonts w:ascii="Arial" w:hAnsi="Arial" w:cs="Arial"/>
                <w:sz w:val="18"/>
                <w:szCs w:val="18"/>
              </w:rPr>
            </w:pPr>
            <w:r w:rsidRPr="0053759F">
              <w:rPr>
                <w:rFonts w:ascii="Arial" w:hAnsi="Arial" w:cs="Arial"/>
                <w:sz w:val="18"/>
                <w:szCs w:val="18"/>
              </w:rPr>
              <w:t>Число общеобразовательных учреждений, всего</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1255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1408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1254</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1278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1220</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w:t>
            </w:r>
            <w:r>
              <w:rPr>
                <w:rFonts w:ascii="Arial" w:hAnsi="Arial" w:cs="Arial"/>
                <w:sz w:val="18"/>
                <w:szCs w:val="18"/>
              </w:rPr>
              <w:t>015</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877</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758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722</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721</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724</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F90A69" w:rsidRDefault="0044009A" w:rsidP="0044009A">
            <w:pPr>
              <w:spacing w:before="20" w:after="20"/>
              <w:ind w:right="95"/>
              <w:jc w:val="right"/>
              <w:rPr>
                <w:rFonts w:ascii="Arial" w:hAnsi="Arial" w:cs="Arial"/>
                <w:sz w:val="18"/>
                <w:szCs w:val="18"/>
                <w:lang w:val="en-US"/>
              </w:rPr>
            </w:pPr>
            <w:r>
              <w:rPr>
                <w:rFonts w:ascii="Arial" w:hAnsi="Arial" w:cs="Arial"/>
                <w:sz w:val="18"/>
                <w:szCs w:val="18"/>
              </w:rPr>
              <w:t>505</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rPr>
                <w:rFonts w:ascii="Arial" w:hAnsi="Arial" w:cs="Arial"/>
                <w:sz w:val="18"/>
                <w:szCs w:val="18"/>
              </w:rPr>
            </w:pPr>
            <w:r w:rsidRPr="0053759F">
              <w:rPr>
                <w:rFonts w:ascii="Arial" w:hAnsi="Arial" w:cs="Arial"/>
                <w:sz w:val="18"/>
                <w:szCs w:val="18"/>
              </w:rPr>
              <w:t>государственные</w:t>
            </w:r>
          </w:p>
        </w:tc>
        <w:tc>
          <w:tcPr>
            <w:tcW w:w="26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w:t>
            </w:r>
            <w:r>
              <w:rPr>
                <w:rFonts w:ascii="Arial" w:hAnsi="Arial" w:cs="Arial"/>
                <w:sz w:val="18"/>
                <w:szCs w:val="18"/>
              </w:rPr>
              <w:t>255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1408</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1254</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1278</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1220</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101</w:t>
            </w:r>
            <w:r>
              <w:rPr>
                <w:rFonts w:ascii="Arial" w:hAnsi="Arial" w:cs="Arial"/>
                <w:sz w:val="18"/>
                <w:szCs w:val="18"/>
              </w:rPr>
              <w:t>5</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877</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758</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722</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721</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723</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502</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rPr>
                <w:rFonts w:ascii="Arial" w:hAnsi="Arial" w:cs="Arial"/>
                <w:sz w:val="18"/>
                <w:szCs w:val="18"/>
              </w:rPr>
            </w:pPr>
            <w:r w:rsidRPr="0053759F">
              <w:rPr>
                <w:rFonts w:ascii="Arial" w:hAnsi="Arial" w:cs="Arial"/>
                <w:sz w:val="18"/>
                <w:szCs w:val="18"/>
              </w:rPr>
              <w:t>в том числе:</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142"/>
              <w:rPr>
                <w:rFonts w:ascii="Arial" w:hAnsi="Arial" w:cs="Arial"/>
                <w:sz w:val="18"/>
                <w:szCs w:val="18"/>
              </w:rPr>
            </w:pPr>
            <w:r w:rsidRPr="0053759F">
              <w:rPr>
                <w:rFonts w:ascii="Arial" w:hAnsi="Arial" w:cs="Arial"/>
                <w:sz w:val="18"/>
                <w:szCs w:val="18"/>
              </w:rPr>
              <w:t>в городской местности</w:t>
            </w:r>
          </w:p>
        </w:tc>
        <w:tc>
          <w:tcPr>
            <w:tcW w:w="26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w:t>
            </w:r>
            <w:r>
              <w:rPr>
                <w:rFonts w:ascii="Arial" w:hAnsi="Arial" w:cs="Arial"/>
                <w:sz w:val="18"/>
                <w:szCs w:val="18"/>
              </w:rPr>
              <w:t>10</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132</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141</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180</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196</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20</w:t>
            </w:r>
            <w:r>
              <w:rPr>
                <w:rFonts w:ascii="Arial" w:hAnsi="Arial" w:cs="Arial"/>
                <w:sz w:val="18"/>
                <w:szCs w:val="18"/>
              </w:rPr>
              <w:t>8</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229</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209</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193</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184</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205</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167</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142"/>
              <w:rPr>
                <w:rFonts w:ascii="Arial" w:hAnsi="Arial" w:cs="Arial"/>
                <w:sz w:val="18"/>
                <w:szCs w:val="18"/>
              </w:rPr>
            </w:pPr>
            <w:r w:rsidRPr="0053759F">
              <w:rPr>
                <w:rFonts w:ascii="Arial" w:hAnsi="Arial" w:cs="Arial"/>
                <w:sz w:val="18"/>
                <w:szCs w:val="18"/>
              </w:rPr>
              <w:t>в сельской местности</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w:t>
            </w:r>
            <w:r>
              <w:rPr>
                <w:rFonts w:ascii="Arial" w:hAnsi="Arial" w:cs="Arial"/>
                <w:sz w:val="18"/>
                <w:szCs w:val="18"/>
              </w:rPr>
              <w:t>145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1276</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1113</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1098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1024</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80</w:t>
            </w:r>
            <w:r>
              <w:rPr>
                <w:rFonts w:ascii="Arial" w:hAnsi="Arial" w:cs="Arial"/>
                <w:sz w:val="18"/>
                <w:szCs w:val="18"/>
              </w:rPr>
              <w:t>7</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648</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549</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529</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537</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518</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335</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567"/>
              <w:rPr>
                <w:rFonts w:ascii="Arial" w:hAnsi="Arial" w:cs="Arial"/>
                <w:sz w:val="18"/>
                <w:szCs w:val="18"/>
              </w:rPr>
            </w:pPr>
            <w:r w:rsidRPr="0053759F">
              <w:rPr>
                <w:rFonts w:ascii="Arial" w:hAnsi="Arial" w:cs="Arial"/>
                <w:sz w:val="18"/>
                <w:szCs w:val="18"/>
              </w:rPr>
              <w:t>из общего числа госуда</w:t>
            </w:r>
            <w:r w:rsidRPr="0053759F">
              <w:rPr>
                <w:rFonts w:ascii="Arial" w:hAnsi="Arial" w:cs="Arial"/>
                <w:sz w:val="18"/>
                <w:szCs w:val="18"/>
              </w:rPr>
              <w:t>р</w:t>
            </w:r>
            <w:r w:rsidRPr="0053759F">
              <w:rPr>
                <w:rFonts w:ascii="Arial" w:hAnsi="Arial" w:cs="Arial"/>
                <w:sz w:val="18"/>
                <w:szCs w:val="18"/>
              </w:rPr>
              <w:t>ственных учреждений</w:t>
            </w:r>
          </w:p>
        </w:tc>
        <w:tc>
          <w:tcPr>
            <w:tcW w:w="26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B04908"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284"/>
              <w:rPr>
                <w:rFonts w:ascii="Arial" w:hAnsi="Arial" w:cs="Arial"/>
                <w:sz w:val="18"/>
                <w:szCs w:val="18"/>
              </w:rPr>
            </w:pPr>
            <w:r w:rsidRPr="0053759F">
              <w:rPr>
                <w:rFonts w:ascii="Arial" w:hAnsi="Arial" w:cs="Arial"/>
                <w:sz w:val="18"/>
                <w:szCs w:val="18"/>
              </w:rPr>
              <w:t>дневные общеобразов</w:t>
            </w:r>
            <w:r w:rsidRPr="0053759F">
              <w:rPr>
                <w:rFonts w:ascii="Arial" w:hAnsi="Arial" w:cs="Arial"/>
                <w:sz w:val="18"/>
                <w:szCs w:val="18"/>
              </w:rPr>
              <w:t>а</w:t>
            </w:r>
            <w:r w:rsidRPr="0053759F">
              <w:rPr>
                <w:rFonts w:ascii="Arial" w:hAnsi="Arial" w:cs="Arial"/>
                <w:sz w:val="18"/>
                <w:szCs w:val="18"/>
              </w:rPr>
              <w:t>тельные учреждения</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1170</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1210</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1132</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1112</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1080</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947</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806</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701</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687</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708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713</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494</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567"/>
              <w:rPr>
                <w:rFonts w:ascii="Arial" w:hAnsi="Arial" w:cs="Arial"/>
                <w:sz w:val="18"/>
                <w:szCs w:val="18"/>
              </w:rPr>
            </w:pPr>
            <w:r w:rsidRPr="0053759F">
              <w:rPr>
                <w:rFonts w:ascii="Arial" w:hAnsi="Arial" w:cs="Arial"/>
                <w:sz w:val="18"/>
                <w:szCs w:val="18"/>
              </w:rPr>
              <w:t>в том числе:</w:t>
            </w:r>
          </w:p>
        </w:tc>
        <w:tc>
          <w:tcPr>
            <w:tcW w:w="26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426"/>
              <w:rPr>
                <w:rFonts w:ascii="Arial" w:hAnsi="Arial" w:cs="Arial"/>
                <w:sz w:val="18"/>
                <w:szCs w:val="18"/>
              </w:rPr>
            </w:pPr>
            <w:r w:rsidRPr="0053759F">
              <w:rPr>
                <w:rFonts w:ascii="Arial" w:hAnsi="Arial" w:cs="Arial"/>
                <w:sz w:val="18"/>
                <w:szCs w:val="18"/>
              </w:rPr>
              <w:t>в городской местности</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101</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116</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114</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142</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145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158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161</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153</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158</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171</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195</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159</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426"/>
              <w:rPr>
                <w:rFonts w:ascii="Arial" w:hAnsi="Arial" w:cs="Arial"/>
                <w:sz w:val="18"/>
                <w:szCs w:val="18"/>
              </w:rPr>
            </w:pPr>
            <w:r w:rsidRPr="0053759F">
              <w:rPr>
                <w:rFonts w:ascii="Arial" w:hAnsi="Arial" w:cs="Arial"/>
                <w:sz w:val="18"/>
                <w:szCs w:val="18"/>
              </w:rPr>
              <w:t>в сельской местности</w:t>
            </w:r>
          </w:p>
        </w:tc>
        <w:tc>
          <w:tcPr>
            <w:tcW w:w="26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1069</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1094</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1018</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970</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935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789</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645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548</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529</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537</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518</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335</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284" w:right="-61"/>
              <w:rPr>
                <w:rFonts w:ascii="Arial" w:hAnsi="Arial" w:cs="Arial"/>
                <w:sz w:val="18"/>
                <w:szCs w:val="18"/>
              </w:rPr>
            </w:pPr>
            <w:r w:rsidRPr="0053759F">
              <w:rPr>
                <w:rFonts w:ascii="Arial" w:hAnsi="Arial" w:cs="Arial"/>
                <w:sz w:val="18"/>
                <w:szCs w:val="18"/>
              </w:rPr>
              <w:t>вечерние (сменные) общео</w:t>
            </w:r>
            <w:r w:rsidRPr="0053759F">
              <w:rPr>
                <w:rFonts w:ascii="Arial" w:hAnsi="Arial" w:cs="Arial"/>
                <w:sz w:val="18"/>
                <w:szCs w:val="18"/>
              </w:rPr>
              <w:t>б</w:t>
            </w:r>
            <w:r w:rsidRPr="0053759F">
              <w:rPr>
                <w:rFonts w:ascii="Arial" w:hAnsi="Arial" w:cs="Arial"/>
                <w:sz w:val="18"/>
                <w:szCs w:val="18"/>
              </w:rPr>
              <w:t>разовательные учреждения</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198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122</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166</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140</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68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71</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57</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13</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10</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8</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rPr>
                <w:rFonts w:ascii="Arial" w:hAnsi="Arial" w:cs="Arial"/>
                <w:sz w:val="18"/>
                <w:szCs w:val="18"/>
              </w:rPr>
            </w:pPr>
            <w:r w:rsidRPr="0053759F">
              <w:rPr>
                <w:rFonts w:ascii="Arial" w:hAnsi="Arial" w:cs="Arial"/>
                <w:sz w:val="18"/>
                <w:szCs w:val="18"/>
              </w:rPr>
              <w:t>в том числе:</w:t>
            </w:r>
          </w:p>
        </w:tc>
        <w:tc>
          <w:tcPr>
            <w:tcW w:w="26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426"/>
              <w:rPr>
                <w:rFonts w:ascii="Arial" w:hAnsi="Arial" w:cs="Arial"/>
                <w:sz w:val="18"/>
                <w:szCs w:val="18"/>
              </w:rPr>
            </w:pPr>
            <w:r w:rsidRPr="0053759F">
              <w:rPr>
                <w:rFonts w:ascii="Arial" w:hAnsi="Arial" w:cs="Arial"/>
                <w:sz w:val="18"/>
                <w:szCs w:val="18"/>
              </w:rPr>
              <w:t>в городской местности</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16</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27</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38</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51</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50</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68</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56</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13</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10</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8</w:t>
            </w:r>
          </w:p>
        </w:tc>
      </w:tr>
      <w:tr w:rsidR="0044009A" w:rsidRPr="0053759F" w:rsidTr="0044009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426"/>
              <w:rPr>
                <w:rFonts w:ascii="Arial" w:hAnsi="Arial" w:cs="Arial"/>
                <w:sz w:val="18"/>
                <w:szCs w:val="18"/>
              </w:rPr>
            </w:pPr>
            <w:r w:rsidRPr="0053759F">
              <w:rPr>
                <w:rFonts w:ascii="Arial" w:hAnsi="Arial" w:cs="Arial"/>
                <w:sz w:val="18"/>
                <w:szCs w:val="18"/>
              </w:rPr>
              <w:t>в сельской местности</w:t>
            </w:r>
          </w:p>
        </w:tc>
        <w:tc>
          <w:tcPr>
            <w:tcW w:w="26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76</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182</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95</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128</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89</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18</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1</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w:t>
            </w:r>
          </w:p>
        </w:tc>
        <w:tc>
          <w:tcPr>
            <w:tcW w:w="337" w:type="pct"/>
            <w:vAlign w:val="bottom"/>
          </w:tcPr>
          <w:p w:rsidR="0044009A" w:rsidRPr="0053759F" w:rsidRDefault="0044009A" w:rsidP="0044009A">
            <w:pPr>
              <w:spacing w:before="20" w:after="20"/>
              <w:ind w:right="9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06629" w:rsidP="0044009A">
            <w:pPr>
              <w:spacing w:before="20" w:after="20"/>
              <w:ind w:right="95"/>
              <w:jc w:val="right"/>
              <w:rPr>
                <w:rFonts w:ascii="Arial" w:hAnsi="Arial" w:cs="Arial"/>
                <w:sz w:val="18"/>
                <w:szCs w:val="18"/>
              </w:rPr>
            </w:pPr>
            <w:r>
              <w:rPr>
                <w:rFonts w:ascii="Arial" w:hAnsi="Arial" w:cs="Arial"/>
                <w:sz w:val="18"/>
                <w:szCs w:val="18"/>
              </w:rPr>
              <w:t>–</w:t>
            </w:r>
          </w:p>
        </w:tc>
      </w:tr>
      <w:tr w:rsidR="0044009A" w:rsidRPr="0053759F" w:rsidTr="0044009A">
        <w:tc>
          <w:tcPr>
            <w:cnfStyle w:val="000010000000" w:firstRow="0" w:lastRow="0" w:firstColumn="0" w:lastColumn="0" w:oddVBand="1" w:evenVBand="0" w:oddHBand="0" w:evenHBand="0" w:firstRowFirstColumn="0" w:firstRowLastColumn="0" w:lastRowFirstColumn="0" w:lastRowLastColumn="0"/>
            <w:tcW w:w="1031" w:type="pct"/>
          </w:tcPr>
          <w:p w:rsidR="0044009A" w:rsidRPr="0053759F" w:rsidRDefault="0044009A" w:rsidP="0044009A">
            <w:pPr>
              <w:spacing w:before="20" w:after="20"/>
              <w:ind w:left="142"/>
              <w:rPr>
                <w:rFonts w:ascii="Arial" w:hAnsi="Arial" w:cs="Arial"/>
                <w:sz w:val="18"/>
                <w:szCs w:val="18"/>
              </w:rPr>
            </w:pPr>
            <w:r w:rsidRPr="0053759F">
              <w:rPr>
                <w:rFonts w:ascii="Arial" w:hAnsi="Arial" w:cs="Arial"/>
                <w:sz w:val="18"/>
                <w:szCs w:val="18"/>
              </w:rPr>
              <w:t>негосударственные</w:t>
            </w:r>
          </w:p>
        </w:tc>
        <w:tc>
          <w:tcPr>
            <w:tcW w:w="26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7" w:type="pct"/>
            <w:vAlign w:val="bottom"/>
          </w:tcPr>
          <w:p w:rsidR="0044009A" w:rsidRPr="0053759F" w:rsidRDefault="0044009A" w:rsidP="0044009A">
            <w:pPr>
              <w:spacing w:before="20" w:after="20"/>
              <w:ind w:right="95"/>
              <w:jc w:val="right"/>
              <w:rPr>
                <w:rFonts w:ascii="Arial" w:hAnsi="Arial" w:cs="Arial"/>
                <w:sz w:val="18"/>
                <w:szCs w:val="18"/>
              </w:rPr>
            </w:pPr>
            <w:r w:rsidRPr="0053759F">
              <w:rPr>
                <w:rFonts w:ascii="Arial" w:hAnsi="Arial" w:cs="Arial"/>
                <w:sz w:val="18"/>
                <w:szCs w:val="18"/>
              </w:rPr>
              <w:t>–</w:t>
            </w:r>
          </w:p>
        </w:tc>
        <w:tc>
          <w:tcPr>
            <w:tcW w:w="337" w:type="pct"/>
            <w:vAlign w:val="bottom"/>
          </w:tcPr>
          <w:p w:rsidR="0044009A" w:rsidRPr="0053759F" w:rsidRDefault="0044009A" w:rsidP="0044009A">
            <w:pPr>
              <w:spacing w:before="20" w:after="20"/>
              <w:ind w:right="9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w:t>
            </w:r>
          </w:p>
        </w:tc>
        <w:tc>
          <w:tcPr>
            <w:cnfStyle w:val="000010000000" w:firstRow="0" w:lastRow="0" w:firstColumn="0" w:lastColumn="0" w:oddVBand="1" w:evenVBand="0" w:oddHBand="0" w:evenHBand="0" w:firstRowFirstColumn="0" w:firstRowLastColumn="0" w:lastRowFirstColumn="0" w:lastRowLastColumn="0"/>
            <w:tcW w:w="332" w:type="pct"/>
            <w:vAlign w:val="bottom"/>
          </w:tcPr>
          <w:p w:rsidR="0044009A" w:rsidRPr="0053759F" w:rsidRDefault="0044009A" w:rsidP="0044009A">
            <w:pPr>
              <w:spacing w:before="20" w:after="20"/>
              <w:ind w:right="95"/>
              <w:jc w:val="right"/>
              <w:rPr>
                <w:rFonts w:ascii="Arial" w:hAnsi="Arial" w:cs="Arial"/>
                <w:sz w:val="18"/>
                <w:szCs w:val="18"/>
              </w:rPr>
            </w:pPr>
            <w:r>
              <w:rPr>
                <w:rFonts w:ascii="Arial" w:hAnsi="Arial" w:cs="Arial"/>
                <w:sz w:val="18"/>
                <w:szCs w:val="18"/>
              </w:rPr>
              <w:t>3</w:t>
            </w:r>
          </w:p>
        </w:tc>
      </w:tr>
    </w:tbl>
    <w:p w:rsidR="00A97E1C" w:rsidRPr="00B37742" w:rsidRDefault="0002306A">
      <w:pPr>
        <w:pStyle w:val="1"/>
        <w:rPr>
          <w:color w:val="548DD4" w:themeColor="text2" w:themeTint="99"/>
        </w:rPr>
      </w:pPr>
      <w:r w:rsidRPr="00B37742">
        <w:rPr>
          <w:color w:val="548DD4" w:themeColor="text2" w:themeTint="99"/>
        </w:rPr>
        <w:lastRenderedPageBreak/>
        <w:t>ЗДРАВООХРАНЕНИЕ</w:t>
      </w:r>
      <w:bookmarkEnd w:id="19"/>
    </w:p>
    <w:p w:rsidR="00A97E1C" w:rsidRDefault="00F728DC">
      <w:pPr>
        <w:pStyle w:val="a8"/>
        <w:tabs>
          <w:tab w:val="clear" w:pos="4153"/>
          <w:tab w:val="clear" w:pos="8306"/>
        </w:tabs>
        <w:rPr>
          <w:rFonts w:ascii="Arial" w:hAnsi="Arial" w:cs="Arial"/>
          <w:i/>
          <w:iCs/>
          <w:sz w:val="22"/>
        </w:rPr>
      </w:pPr>
      <w:r>
        <w:rPr>
          <w:rFonts w:ascii="Arial" w:hAnsi="Arial" w:cs="Arial"/>
          <w:i/>
          <w:iCs/>
          <w:noProof/>
          <w:sz w:val="22"/>
        </w:rPr>
        <w:drawing>
          <wp:anchor distT="0" distB="0" distL="114300" distR="114300" simplePos="0" relativeHeight="251709440" behindDoc="1" locked="0" layoutInCell="1" allowOverlap="1">
            <wp:simplePos x="0" y="0"/>
            <wp:positionH relativeFrom="column">
              <wp:posOffset>95250</wp:posOffset>
            </wp:positionH>
            <wp:positionV relativeFrom="paragraph">
              <wp:posOffset>147955</wp:posOffset>
            </wp:positionV>
            <wp:extent cx="1511935" cy="1422400"/>
            <wp:effectExtent l="19050" t="0" r="0" b="0"/>
            <wp:wrapTight wrapText="bothSides">
              <wp:wrapPolygon edited="0">
                <wp:start x="1089" y="0"/>
                <wp:lineTo x="-272" y="2025"/>
                <wp:lineTo x="-272" y="18514"/>
                <wp:lineTo x="544" y="21407"/>
                <wp:lineTo x="1089" y="21407"/>
                <wp:lineTo x="20139" y="21407"/>
                <wp:lineTo x="20684" y="21407"/>
                <wp:lineTo x="21500" y="19671"/>
                <wp:lineTo x="21500" y="2025"/>
                <wp:lineTo x="20956" y="289"/>
                <wp:lineTo x="20139" y="0"/>
                <wp:lineTo x="1089" y="0"/>
              </wp:wrapPolygon>
            </wp:wrapTight>
            <wp:docPr id="54" name="Рисунок 51" descr="здрав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драв4.jpg"/>
                    <pic:cNvPicPr/>
                  </pic:nvPicPr>
                  <pic:blipFill>
                    <a:blip r:embed="rId34"/>
                    <a:stretch>
                      <a:fillRect/>
                    </a:stretch>
                  </pic:blipFill>
                  <pic:spPr>
                    <a:xfrm>
                      <a:off x="0" y="0"/>
                      <a:ext cx="1511935" cy="1422400"/>
                    </a:xfrm>
                    <a:prstGeom prst="rect">
                      <a:avLst/>
                    </a:prstGeom>
                    <a:ln>
                      <a:noFill/>
                    </a:ln>
                    <a:effectLst>
                      <a:softEdge rad="112500"/>
                    </a:effectLst>
                  </pic:spPr>
                </pic:pic>
              </a:graphicData>
            </a:graphic>
          </wp:anchor>
        </w:drawing>
      </w:r>
    </w:p>
    <w:p w:rsidR="000C6EB8" w:rsidRDefault="000C6EB8" w:rsidP="000C6EB8">
      <w:pPr>
        <w:pStyle w:val="21"/>
        <w:spacing w:line="240" w:lineRule="auto"/>
        <w:jc w:val="both"/>
        <w:rPr>
          <w:rFonts w:cs="Arial"/>
          <w:sz w:val="22"/>
        </w:rPr>
      </w:pPr>
      <w:r>
        <w:rPr>
          <w:rFonts w:cs="Arial"/>
          <w:sz w:val="22"/>
        </w:rPr>
        <w:t>Современная система здравоохранения начала формироваться с 1943 года, когда была образована Ульяно</w:t>
      </w:r>
      <w:r>
        <w:rPr>
          <w:rFonts w:cs="Arial"/>
          <w:sz w:val="22"/>
        </w:rPr>
        <w:t>в</w:t>
      </w:r>
      <w:r>
        <w:rPr>
          <w:rFonts w:cs="Arial"/>
          <w:sz w:val="22"/>
        </w:rPr>
        <w:t>ская область. Уже в военное время началась реконструкция старых больниц в районах, к ним пристраивались родильные и другие отделения.  К началу  1970-х годов в Ульяновской области функционировало 121 стаци</w:t>
      </w:r>
      <w:r>
        <w:rPr>
          <w:rFonts w:cs="Arial"/>
          <w:sz w:val="22"/>
        </w:rPr>
        <w:t>о</w:t>
      </w:r>
      <w:r>
        <w:rPr>
          <w:rFonts w:cs="Arial"/>
          <w:sz w:val="22"/>
        </w:rPr>
        <w:t xml:space="preserve">нарное лечебное учреждение, 603 фельдшерско-акушерских пункта. В медицинских учреждениях работало 2184 врача и  9653 среднего медицинского работника.  </w:t>
      </w:r>
    </w:p>
    <w:p w:rsidR="000C6EB8" w:rsidRDefault="000C6EB8" w:rsidP="000C6EB8">
      <w:pPr>
        <w:pStyle w:val="21"/>
        <w:spacing w:line="240" w:lineRule="auto"/>
        <w:jc w:val="both"/>
        <w:rPr>
          <w:rFonts w:cs="Arial"/>
          <w:sz w:val="22"/>
        </w:rPr>
      </w:pPr>
      <w:r>
        <w:rPr>
          <w:rFonts w:cs="Arial"/>
          <w:sz w:val="22"/>
        </w:rPr>
        <w:t>Большие усилия были предприняты в области по развитию здравоохранения в 1980 – 1990-е годы. Построены новые лечебные корпуса в областной больнице № 1, больнице скорой медицинской помощи, госпитале вет</w:t>
      </w:r>
      <w:r>
        <w:rPr>
          <w:rFonts w:cs="Arial"/>
          <w:sz w:val="22"/>
        </w:rPr>
        <w:t>е</w:t>
      </w:r>
      <w:r>
        <w:rPr>
          <w:rFonts w:cs="Arial"/>
          <w:sz w:val="22"/>
        </w:rPr>
        <w:t>ранов войн, открыта детская многопрофильная больница, возведены новые здания районных больниц в бол</w:t>
      </w:r>
      <w:r>
        <w:rPr>
          <w:rFonts w:cs="Arial"/>
          <w:sz w:val="22"/>
        </w:rPr>
        <w:t>ь</w:t>
      </w:r>
      <w:r>
        <w:rPr>
          <w:rFonts w:cs="Arial"/>
          <w:sz w:val="22"/>
        </w:rPr>
        <w:t>шинстве сельских районов. Ульяновская областная больница  является  ведущим лечебно-профилактическим учреждением в области, в ней оказываются все виды квалифицированной помощи.  Многие годы подготовка кадров для медицинских учреждений велась в медицинском училище, а с начала 1990г.  – еще и на медицинском факультете Ульяновского государственного ун</w:t>
      </w:r>
      <w:r>
        <w:rPr>
          <w:rFonts w:cs="Arial"/>
          <w:sz w:val="22"/>
        </w:rPr>
        <w:t>и</w:t>
      </w:r>
      <w:r>
        <w:rPr>
          <w:rFonts w:cs="Arial"/>
          <w:sz w:val="22"/>
        </w:rPr>
        <w:t>верситета.</w:t>
      </w:r>
    </w:p>
    <w:p w:rsidR="000C6EB8" w:rsidRDefault="000C6EB8" w:rsidP="000C6EB8">
      <w:pPr>
        <w:pStyle w:val="21"/>
        <w:spacing w:line="240" w:lineRule="auto"/>
        <w:ind w:firstLine="709"/>
        <w:jc w:val="both"/>
        <w:rPr>
          <w:rFonts w:cs="Arial"/>
          <w:sz w:val="22"/>
        </w:rPr>
      </w:pPr>
      <w:r>
        <w:rPr>
          <w:rFonts w:cs="Arial"/>
          <w:sz w:val="22"/>
        </w:rPr>
        <w:t xml:space="preserve">Во второй половине 90-х годов в области, как и во всей Российской Федерации, проводилось поэтапное реформирование системы здравоохранения, основными направлениями которого были реорганизация учреждений, оказывающих медицинскую помощь населению, перераспределение части объемов помощи из стационарного сектора </w:t>
      </w:r>
      <w:proofErr w:type="gramStart"/>
      <w:r>
        <w:rPr>
          <w:rFonts w:cs="Arial"/>
          <w:sz w:val="22"/>
        </w:rPr>
        <w:t>в</w:t>
      </w:r>
      <w:proofErr w:type="gramEnd"/>
      <w:r>
        <w:rPr>
          <w:rFonts w:cs="Arial"/>
          <w:sz w:val="22"/>
        </w:rPr>
        <w:t xml:space="preserve"> амбулаторный.</w:t>
      </w:r>
    </w:p>
    <w:p w:rsidR="000C6EB8" w:rsidRDefault="000C6EB8" w:rsidP="000C6EB8">
      <w:pPr>
        <w:pStyle w:val="21"/>
        <w:spacing w:line="240" w:lineRule="auto"/>
        <w:ind w:firstLine="709"/>
        <w:jc w:val="both"/>
        <w:rPr>
          <w:rFonts w:cs="Arial"/>
          <w:sz w:val="22"/>
        </w:rPr>
      </w:pPr>
      <w:r>
        <w:rPr>
          <w:rFonts w:cs="Arial"/>
          <w:sz w:val="22"/>
        </w:rPr>
        <w:t>За период реформирования произошло укрупнение врачебных амбулаторно-поликлинических учреждений, объединение их с больничными учреждениями, а также некоторое сокращение сети мелких медико-санитарных частей, врачебных здравпунктов на пре</w:t>
      </w:r>
      <w:r>
        <w:rPr>
          <w:rFonts w:cs="Arial"/>
          <w:sz w:val="22"/>
        </w:rPr>
        <w:t>д</w:t>
      </w:r>
      <w:r>
        <w:rPr>
          <w:rFonts w:cs="Arial"/>
          <w:sz w:val="22"/>
        </w:rPr>
        <w:t>приятиях.</w:t>
      </w:r>
    </w:p>
    <w:p w:rsidR="000C6EB8" w:rsidRDefault="000C6EB8" w:rsidP="000C6EB8">
      <w:pPr>
        <w:pStyle w:val="21"/>
        <w:spacing w:line="240" w:lineRule="auto"/>
        <w:ind w:firstLine="709"/>
        <w:jc w:val="both"/>
        <w:rPr>
          <w:rFonts w:cs="Arial"/>
          <w:sz w:val="22"/>
        </w:rPr>
      </w:pPr>
      <w:r>
        <w:rPr>
          <w:rFonts w:cs="Arial"/>
          <w:sz w:val="22"/>
        </w:rPr>
        <w:t>Одновременно была предусмотрена работа по развитию дневных стационаров, как в больничных учреждениях, так и в поликлин</w:t>
      </w:r>
      <w:r>
        <w:rPr>
          <w:rFonts w:cs="Arial"/>
          <w:sz w:val="22"/>
        </w:rPr>
        <w:t>и</w:t>
      </w:r>
      <w:r>
        <w:rPr>
          <w:rFonts w:cs="Arial"/>
          <w:sz w:val="22"/>
        </w:rPr>
        <w:t>ках.</w:t>
      </w:r>
    </w:p>
    <w:p w:rsidR="000C6EB8" w:rsidRDefault="000C6EB8" w:rsidP="000C6EB8">
      <w:pPr>
        <w:pStyle w:val="21"/>
        <w:spacing w:line="240" w:lineRule="auto"/>
        <w:ind w:firstLine="709"/>
        <w:jc w:val="both"/>
        <w:rPr>
          <w:rFonts w:cs="Arial"/>
          <w:sz w:val="22"/>
        </w:rPr>
      </w:pPr>
      <w:r>
        <w:rPr>
          <w:rFonts w:cs="Arial"/>
          <w:sz w:val="22"/>
        </w:rPr>
        <w:t xml:space="preserve">Параллельно с </w:t>
      </w:r>
      <w:proofErr w:type="gramStart"/>
      <w:r>
        <w:rPr>
          <w:rFonts w:cs="Arial"/>
          <w:sz w:val="22"/>
        </w:rPr>
        <w:t>государственными</w:t>
      </w:r>
      <w:proofErr w:type="gramEnd"/>
      <w:r>
        <w:rPr>
          <w:rFonts w:cs="Arial"/>
          <w:sz w:val="22"/>
        </w:rPr>
        <w:t xml:space="preserve"> развиваются негосударственные медицинские учреждения, обеспечивающие конкуренцию на рынке медицинских услуг и дополнительное удовлетворение потребности населения в некоторых видах медицинской помощи.</w:t>
      </w:r>
    </w:p>
    <w:p w:rsidR="000C6EB8" w:rsidRDefault="000C6EB8" w:rsidP="000C6EB8">
      <w:pPr>
        <w:pStyle w:val="21"/>
        <w:spacing w:line="240" w:lineRule="auto"/>
        <w:ind w:firstLine="709"/>
        <w:jc w:val="both"/>
        <w:rPr>
          <w:rFonts w:cs="Arial"/>
          <w:sz w:val="22"/>
        </w:rPr>
      </w:pPr>
      <w:r>
        <w:rPr>
          <w:rFonts w:cs="Arial"/>
          <w:sz w:val="22"/>
        </w:rPr>
        <w:t>В 2006 году продолжились мероприятия по реформированию сети государственных учреждений здравоохранения и лечебно-профилактических учреждений муниципальных образований в рамках реализации Федерального закона от 06.10.2003г. №131-ФЗ «Об общих принципах местного самоуправления в РФ». Поэтому сеть учреждений здравоохранения претерпела существенные изменения.</w:t>
      </w:r>
    </w:p>
    <w:p w:rsidR="000C6EB8" w:rsidRDefault="000C6EB8" w:rsidP="000C6EB8">
      <w:pPr>
        <w:pStyle w:val="21"/>
        <w:spacing w:line="240" w:lineRule="auto"/>
        <w:ind w:firstLine="709"/>
        <w:jc w:val="both"/>
        <w:rPr>
          <w:rFonts w:cs="Arial"/>
          <w:sz w:val="22"/>
        </w:rPr>
      </w:pPr>
      <w:r>
        <w:rPr>
          <w:rFonts w:cs="Arial"/>
          <w:sz w:val="22"/>
        </w:rPr>
        <w:t>В 2010 году оказанием медицинских услуг населению занимались 69 больничных и 108 амбулаторно-поликлинических учрежд</w:t>
      </w:r>
      <w:r>
        <w:rPr>
          <w:rFonts w:cs="Arial"/>
          <w:sz w:val="22"/>
        </w:rPr>
        <w:t>е</w:t>
      </w:r>
      <w:r>
        <w:rPr>
          <w:rFonts w:cs="Arial"/>
          <w:sz w:val="22"/>
        </w:rPr>
        <w:t>ний, из них 12 (11,1%) амбулаторно-поликлинических негосударственных учреждений.</w:t>
      </w:r>
    </w:p>
    <w:p w:rsidR="000C6EB8" w:rsidRDefault="000C6EB8" w:rsidP="000C6EB8">
      <w:pPr>
        <w:pStyle w:val="21"/>
        <w:spacing w:line="240" w:lineRule="auto"/>
        <w:ind w:firstLine="709"/>
        <w:jc w:val="both"/>
        <w:rPr>
          <w:rFonts w:cs="Arial"/>
          <w:sz w:val="22"/>
        </w:rPr>
      </w:pPr>
      <w:r>
        <w:rPr>
          <w:rFonts w:cs="Arial"/>
          <w:sz w:val="22"/>
        </w:rPr>
        <w:t>Ежегодно численность врачей и среднего медицинского персонала до 2000г. возрастала. В 2010 году по сравнению с 2000 годом численность врачей сократилась на 501 человек (на 9,7%), среднего медицинского персонала – на 1881 человек (</w:t>
      </w:r>
      <w:proofErr w:type="gramStart"/>
      <w:r>
        <w:rPr>
          <w:rFonts w:cs="Arial"/>
          <w:sz w:val="22"/>
        </w:rPr>
        <w:t>на</w:t>
      </w:r>
      <w:proofErr w:type="gramEnd"/>
      <w:r>
        <w:rPr>
          <w:rFonts w:cs="Arial"/>
          <w:sz w:val="22"/>
        </w:rPr>
        <w:t xml:space="preserve"> 10,2%).</w:t>
      </w:r>
    </w:p>
    <w:p w:rsidR="000C6EB8" w:rsidRDefault="000C6EB8" w:rsidP="000C6EB8">
      <w:pPr>
        <w:pStyle w:val="21"/>
        <w:spacing w:line="240" w:lineRule="auto"/>
        <w:ind w:firstLine="709"/>
        <w:jc w:val="both"/>
        <w:rPr>
          <w:rFonts w:cs="Arial"/>
          <w:sz w:val="22"/>
        </w:rPr>
      </w:pPr>
      <w:r>
        <w:rPr>
          <w:rFonts w:cs="Arial"/>
          <w:sz w:val="22"/>
        </w:rPr>
        <w:t xml:space="preserve">В 2010 году (без учёта </w:t>
      </w:r>
      <w:proofErr w:type="spellStart"/>
      <w:r>
        <w:rPr>
          <w:rFonts w:cs="Arial"/>
          <w:sz w:val="22"/>
        </w:rPr>
        <w:t>микропредприятий</w:t>
      </w:r>
      <w:proofErr w:type="spellEnd"/>
      <w:r>
        <w:rPr>
          <w:rFonts w:cs="Arial"/>
          <w:sz w:val="22"/>
        </w:rPr>
        <w:t xml:space="preserve">) в области работало 4666 врачей и 16,5 тыс. человек среднего медицинского персонала, из них в негосударственных учреждениях соответственно 116 (2,5%) и 368 (2,2%) . </w:t>
      </w:r>
    </w:p>
    <w:p w:rsidR="000C6EB8" w:rsidRDefault="000C6EB8" w:rsidP="000C6EB8">
      <w:pPr>
        <w:pStyle w:val="8"/>
        <w:rPr>
          <w:sz w:val="22"/>
        </w:rPr>
      </w:pPr>
    </w:p>
    <w:p w:rsidR="000C6EB8" w:rsidRDefault="000C6EB8" w:rsidP="000C6EB8">
      <w:pPr>
        <w:rPr>
          <w:rFonts w:ascii="Arial" w:hAnsi="Arial" w:cs="Arial"/>
          <w:b/>
          <w:bCs/>
          <w:sz w:val="22"/>
        </w:rPr>
      </w:pPr>
      <w:r>
        <w:rPr>
          <w:sz w:val="22"/>
        </w:rPr>
        <w:br w:type="page"/>
      </w:r>
    </w:p>
    <w:p w:rsidR="000C6EB8" w:rsidRDefault="000C6EB8" w:rsidP="000C6EB8">
      <w:pPr>
        <w:pStyle w:val="8"/>
        <w:rPr>
          <w:sz w:val="22"/>
        </w:rPr>
      </w:pPr>
      <w:r>
        <w:rPr>
          <w:sz w:val="22"/>
        </w:rPr>
        <w:lastRenderedPageBreak/>
        <w:t>ОСНОВНЫЕ ПОКАЗАТЕЛИ ЗДРАВООХРАНЕНИЯ</w:t>
      </w:r>
    </w:p>
    <w:p w:rsidR="000C6EB8" w:rsidRDefault="000C6EB8" w:rsidP="000C6EB8">
      <w:pPr>
        <w:pStyle w:val="a3"/>
        <w:spacing w:line="240" w:lineRule="auto"/>
        <w:ind w:left="2835"/>
        <w:rPr>
          <w:rFonts w:ascii="Arial" w:hAnsi="Arial" w:cs="Arial"/>
          <w:b w:val="0"/>
          <w:i/>
          <w:iCs/>
        </w:rPr>
      </w:pPr>
    </w:p>
    <w:tbl>
      <w:tblPr>
        <w:tblStyle w:val="-11"/>
        <w:tblW w:w="5000" w:type="pct"/>
        <w:tblLook w:val="0000" w:firstRow="0" w:lastRow="0" w:firstColumn="0" w:lastColumn="0" w:noHBand="0" w:noVBand="0"/>
      </w:tblPr>
      <w:tblGrid>
        <w:gridCol w:w="2974"/>
        <w:gridCol w:w="967"/>
        <w:gridCol w:w="966"/>
        <w:gridCol w:w="960"/>
        <w:gridCol w:w="960"/>
        <w:gridCol w:w="960"/>
        <w:gridCol w:w="960"/>
        <w:gridCol w:w="960"/>
        <w:gridCol w:w="960"/>
        <w:gridCol w:w="960"/>
        <w:gridCol w:w="960"/>
        <w:gridCol w:w="960"/>
        <w:gridCol w:w="957"/>
      </w:tblGrid>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5" w:type="pct"/>
            <w:shd w:val="clear" w:color="auto" w:fill="C6D9F1" w:themeFill="text2" w:themeFillTint="33"/>
          </w:tcPr>
          <w:p w:rsidR="000C6EB8" w:rsidRPr="0053759F" w:rsidRDefault="000C6EB8" w:rsidP="000C6EB8">
            <w:pPr>
              <w:spacing w:before="60" w:after="60"/>
              <w:jc w:val="center"/>
              <w:rPr>
                <w:rFonts w:ascii="Arial" w:hAnsi="Arial" w:cs="Arial"/>
                <w:sz w:val="18"/>
                <w:szCs w:val="18"/>
              </w:rPr>
            </w:pPr>
          </w:p>
        </w:tc>
        <w:tc>
          <w:tcPr>
            <w:tcW w:w="333" w:type="pct"/>
            <w:shd w:val="clear" w:color="auto" w:fill="C6D9F1" w:themeFill="text2" w:themeFillTint="33"/>
          </w:tcPr>
          <w:p w:rsidR="000C6EB8" w:rsidRPr="0053759F"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1945</w:t>
            </w:r>
          </w:p>
        </w:tc>
        <w:tc>
          <w:tcPr>
            <w:cnfStyle w:val="000010000000" w:firstRow="0" w:lastRow="0" w:firstColumn="0" w:lastColumn="0" w:oddVBand="1" w:evenVBand="0" w:oddHBand="0" w:evenHBand="0" w:firstRowFirstColumn="0" w:firstRowLastColumn="0" w:lastRowFirstColumn="0" w:lastRowLastColumn="0"/>
            <w:tcW w:w="333" w:type="pct"/>
            <w:shd w:val="clear" w:color="auto" w:fill="C6D9F1" w:themeFill="text2" w:themeFillTint="33"/>
          </w:tcPr>
          <w:p w:rsidR="000C6EB8" w:rsidRPr="0053759F" w:rsidRDefault="000C6EB8" w:rsidP="000C6EB8">
            <w:pPr>
              <w:spacing w:before="60" w:after="60"/>
              <w:jc w:val="center"/>
              <w:rPr>
                <w:rFonts w:ascii="Arial" w:hAnsi="Arial" w:cs="Arial"/>
                <w:sz w:val="18"/>
                <w:szCs w:val="18"/>
              </w:rPr>
            </w:pPr>
            <w:r w:rsidRPr="0053759F">
              <w:rPr>
                <w:rFonts w:ascii="Arial" w:hAnsi="Arial" w:cs="Arial"/>
                <w:sz w:val="18"/>
                <w:szCs w:val="18"/>
              </w:rPr>
              <w:t>1950</w:t>
            </w:r>
          </w:p>
        </w:tc>
        <w:tc>
          <w:tcPr>
            <w:tcW w:w="331" w:type="pct"/>
            <w:shd w:val="clear" w:color="auto" w:fill="C6D9F1" w:themeFill="text2" w:themeFillTint="33"/>
          </w:tcPr>
          <w:p w:rsidR="000C6EB8" w:rsidRPr="0053759F"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1955</w:t>
            </w:r>
          </w:p>
        </w:tc>
        <w:tc>
          <w:tcPr>
            <w:cnfStyle w:val="000010000000" w:firstRow="0" w:lastRow="0" w:firstColumn="0" w:lastColumn="0" w:oddVBand="1" w:evenVBand="0" w:oddHBand="0" w:evenHBand="0" w:firstRowFirstColumn="0" w:firstRowLastColumn="0" w:lastRowFirstColumn="0" w:lastRowLastColumn="0"/>
            <w:tcW w:w="331" w:type="pct"/>
            <w:shd w:val="clear" w:color="auto" w:fill="C6D9F1" w:themeFill="text2" w:themeFillTint="33"/>
          </w:tcPr>
          <w:p w:rsidR="000C6EB8" w:rsidRPr="0053759F" w:rsidRDefault="000C6EB8" w:rsidP="000C6EB8">
            <w:pPr>
              <w:spacing w:before="60" w:after="60"/>
              <w:jc w:val="center"/>
              <w:rPr>
                <w:rFonts w:ascii="Arial" w:hAnsi="Arial" w:cs="Arial"/>
                <w:sz w:val="18"/>
                <w:szCs w:val="18"/>
              </w:rPr>
            </w:pPr>
            <w:r w:rsidRPr="0053759F">
              <w:rPr>
                <w:rFonts w:ascii="Arial" w:hAnsi="Arial" w:cs="Arial"/>
                <w:sz w:val="18"/>
                <w:szCs w:val="18"/>
              </w:rPr>
              <w:t>1960</w:t>
            </w:r>
          </w:p>
        </w:tc>
        <w:tc>
          <w:tcPr>
            <w:tcW w:w="331" w:type="pct"/>
            <w:shd w:val="clear" w:color="auto" w:fill="C6D9F1" w:themeFill="text2" w:themeFillTint="33"/>
          </w:tcPr>
          <w:p w:rsidR="000C6EB8" w:rsidRPr="0053759F"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1965</w:t>
            </w:r>
          </w:p>
        </w:tc>
        <w:tc>
          <w:tcPr>
            <w:cnfStyle w:val="000010000000" w:firstRow="0" w:lastRow="0" w:firstColumn="0" w:lastColumn="0" w:oddVBand="1" w:evenVBand="0" w:oddHBand="0" w:evenHBand="0" w:firstRowFirstColumn="0" w:firstRowLastColumn="0" w:lastRowFirstColumn="0" w:lastRowLastColumn="0"/>
            <w:tcW w:w="331" w:type="pct"/>
            <w:shd w:val="clear" w:color="auto" w:fill="C6D9F1" w:themeFill="text2" w:themeFillTint="33"/>
          </w:tcPr>
          <w:p w:rsidR="000C6EB8" w:rsidRPr="0053759F" w:rsidRDefault="000C6EB8" w:rsidP="000C6EB8">
            <w:pPr>
              <w:spacing w:before="60" w:after="60"/>
              <w:jc w:val="center"/>
              <w:rPr>
                <w:rFonts w:ascii="Arial" w:hAnsi="Arial" w:cs="Arial"/>
                <w:sz w:val="18"/>
                <w:szCs w:val="18"/>
              </w:rPr>
            </w:pPr>
            <w:r w:rsidRPr="0053759F">
              <w:rPr>
                <w:rFonts w:ascii="Arial" w:hAnsi="Arial" w:cs="Arial"/>
                <w:sz w:val="18"/>
                <w:szCs w:val="18"/>
              </w:rPr>
              <w:t>1970</w:t>
            </w:r>
          </w:p>
        </w:tc>
        <w:tc>
          <w:tcPr>
            <w:tcW w:w="331" w:type="pct"/>
            <w:shd w:val="clear" w:color="auto" w:fill="C6D9F1" w:themeFill="text2" w:themeFillTint="33"/>
          </w:tcPr>
          <w:p w:rsidR="000C6EB8" w:rsidRPr="0053759F"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1975</w:t>
            </w:r>
          </w:p>
        </w:tc>
        <w:tc>
          <w:tcPr>
            <w:cnfStyle w:val="000010000000" w:firstRow="0" w:lastRow="0" w:firstColumn="0" w:lastColumn="0" w:oddVBand="1" w:evenVBand="0" w:oddHBand="0" w:evenHBand="0" w:firstRowFirstColumn="0" w:firstRowLastColumn="0" w:lastRowFirstColumn="0" w:lastRowLastColumn="0"/>
            <w:tcW w:w="331" w:type="pct"/>
            <w:shd w:val="clear" w:color="auto" w:fill="C6D9F1" w:themeFill="text2" w:themeFillTint="33"/>
          </w:tcPr>
          <w:p w:rsidR="000C6EB8" w:rsidRPr="0053759F" w:rsidRDefault="000C6EB8" w:rsidP="000C6EB8">
            <w:pPr>
              <w:spacing w:before="60" w:after="60"/>
              <w:jc w:val="center"/>
              <w:rPr>
                <w:rFonts w:ascii="Arial" w:hAnsi="Arial" w:cs="Arial"/>
                <w:sz w:val="18"/>
                <w:szCs w:val="18"/>
              </w:rPr>
            </w:pPr>
            <w:r w:rsidRPr="0053759F">
              <w:rPr>
                <w:rFonts w:ascii="Arial" w:hAnsi="Arial" w:cs="Arial"/>
                <w:sz w:val="18"/>
                <w:szCs w:val="18"/>
              </w:rPr>
              <w:t>1980</w:t>
            </w:r>
          </w:p>
        </w:tc>
        <w:tc>
          <w:tcPr>
            <w:tcW w:w="331" w:type="pct"/>
            <w:shd w:val="clear" w:color="auto" w:fill="C6D9F1" w:themeFill="text2" w:themeFillTint="33"/>
          </w:tcPr>
          <w:p w:rsidR="000C6EB8" w:rsidRPr="0053759F"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1985</w:t>
            </w:r>
          </w:p>
        </w:tc>
        <w:tc>
          <w:tcPr>
            <w:cnfStyle w:val="000010000000" w:firstRow="0" w:lastRow="0" w:firstColumn="0" w:lastColumn="0" w:oddVBand="1" w:evenVBand="0" w:oddHBand="0" w:evenHBand="0" w:firstRowFirstColumn="0" w:firstRowLastColumn="0" w:lastRowFirstColumn="0" w:lastRowLastColumn="0"/>
            <w:tcW w:w="331" w:type="pct"/>
            <w:shd w:val="clear" w:color="auto" w:fill="C6D9F1" w:themeFill="text2" w:themeFillTint="33"/>
          </w:tcPr>
          <w:p w:rsidR="000C6EB8" w:rsidRPr="0053759F" w:rsidRDefault="000C6EB8" w:rsidP="000C6EB8">
            <w:pPr>
              <w:spacing w:before="60" w:after="60"/>
              <w:jc w:val="center"/>
              <w:rPr>
                <w:rFonts w:ascii="Arial" w:hAnsi="Arial" w:cs="Arial"/>
                <w:sz w:val="18"/>
                <w:szCs w:val="18"/>
              </w:rPr>
            </w:pPr>
            <w:r w:rsidRPr="0053759F">
              <w:rPr>
                <w:rFonts w:ascii="Arial" w:hAnsi="Arial" w:cs="Arial"/>
                <w:sz w:val="18"/>
                <w:szCs w:val="18"/>
              </w:rPr>
              <w:t>1990</w:t>
            </w:r>
          </w:p>
        </w:tc>
        <w:tc>
          <w:tcPr>
            <w:tcW w:w="331" w:type="pct"/>
            <w:shd w:val="clear" w:color="auto" w:fill="C6D9F1" w:themeFill="text2" w:themeFillTint="33"/>
          </w:tcPr>
          <w:p w:rsidR="000C6EB8" w:rsidRPr="0053759F"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330" w:type="pct"/>
            <w:shd w:val="clear" w:color="auto" w:fill="C6D9F1" w:themeFill="text2" w:themeFillTint="33"/>
          </w:tcPr>
          <w:p w:rsidR="000C6EB8" w:rsidRPr="0053759F" w:rsidRDefault="000C6EB8" w:rsidP="000C6EB8">
            <w:pPr>
              <w:spacing w:before="60" w:after="60"/>
              <w:jc w:val="center"/>
              <w:rPr>
                <w:rFonts w:ascii="Arial" w:hAnsi="Arial" w:cs="Arial"/>
                <w:sz w:val="18"/>
                <w:szCs w:val="18"/>
              </w:rPr>
            </w:pPr>
            <w:r w:rsidRPr="0053759F">
              <w:rPr>
                <w:rFonts w:ascii="Arial" w:hAnsi="Arial" w:cs="Arial"/>
                <w:sz w:val="18"/>
                <w:szCs w:val="18"/>
              </w:rPr>
              <w:t>201</w:t>
            </w:r>
            <w:r>
              <w:rPr>
                <w:rFonts w:ascii="Arial" w:hAnsi="Arial" w:cs="Arial"/>
                <w:sz w:val="18"/>
                <w:szCs w:val="18"/>
              </w:rPr>
              <w:t>1</w:t>
            </w:r>
          </w:p>
        </w:tc>
      </w:tr>
      <w:tr w:rsidR="000C6EB8" w:rsidRPr="0053759F" w:rsidTr="000C6EB8">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rPr>
                <w:rFonts w:ascii="Arial" w:hAnsi="Arial" w:cs="Arial"/>
                <w:sz w:val="18"/>
                <w:szCs w:val="18"/>
              </w:rPr>
            </w:pPr>
            <w:r w:rsidRPr="0053759F">
              <w:rPr>
                <w:rFonts w:ascii="Arial" w:hAnsi="Arial" w:cs="Arial"/>
                <w:sz w:val="18"/>
                <w:szCs w:val="18"/>
              </w:rPr>
              <w:t>Число больничных учреждений, единиц</w:t>
            </w:r>
          </w:p>
        </w:tc>
        <w:tc>
          <w:tcPr>
            <w:tcW w:w="333"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95</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112</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143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130</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119</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121</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117</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113</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119</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105</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3A3E4E" w:rsidRDefault="000C6EB8" w:rsidP="000C6EB8">
            <w:pPr>
              <w:spacing w:before="60" w:after="60"/>
              <w:ind w:right="170"/>
              <w:jc w:val="right"/>
              <w:rPr>
                <w:rFonts w:ascii="Arial" w:hAnsi="Arial" w:cs="Arial"/>
                <w:sz w:val="18"/>
                <w:szCs w:val="18"/>
                <w:lang w:val="en-US"/>
              </w:rPr>
            </w:pPr>
            <w:r>
              <w:rPr>
                <w:rFonts w:ascii="Arial" w:hAnsi="Arial" w:cs="Arial"/>
                <w:sz w:val="18"/>
                <w:szCs w:val="18"/>
                <w:lang w:val="en-US"/>
              </w:rPr>
              <w:t>69</w:t>
            </w:r>
          </w:p>
        </w:tc>
      </w:tr>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ind w:left="284"/>
              <w:rPr>
                <w:rFonts w:ascii="Arial" w:hAnsi="Arial" w:cs="Arial"/>
                <w:sz w:val="18"/>
                <w:szCs w:val="18"/>
              </w:rPr>
            </w:pPr>
            <w:r w:rsidRPr="0053759F">
              <w:rPr>
                <w:rFonts w:ascii="Arial" w:hAnsi="Arial" w:cs="Arial"/>
                <w:sz w:val="18"/>
                <w:szCs w:val="18"/>
              </w:rPr>
              <w:t>в них число коек - всего</w:t>
            </w:r>
          </w:p>
        </w:tc>
        <w:tc>
          <w:tcPr>
            <w:tcW w:w="333"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3851</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4686</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6213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7872</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9864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12800</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14325</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15595</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16940</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18125</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16438</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12043</w:t>
            </w:r>
          </w:p>
        </w:tc>
      </w:tr>
      <w:tr w:rsidR="000C6EB8" w:rsidRPr="0053759F" w:rsidTr="000C6EB8">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ind w:left="284"/>
              <w:rPr>
                <w:rFonts w:ascii="Arial" w:hAnsi="Arial" w:cs="Arial"/>
                <w:sz w:val="18"/>
                <w:szCs w:val="18"/>
              </w:rPr>
            </w:pPr>
            <w:r w:rsidRPr="0053759F">
              <w:rPr>
                <w:rFonts w:ascii="Arial" w:hAnsi="Arial" w:cs="Arial"/>
                <w:sz w:val="18"/>
                <w:szCs w:val="18"/>
              </w:rPr>
              <w:t>в расчете на 10 тыс. насел</w:t>
            </w:r>
            <w:r w:rsidRPr="0053759F">
              <w:rPr>
                <w:rFonts w:ascii="Arial" w:hAnsi="Arial" w:cs="Arial"/>
                <w:sz w:val="18"/>
                <w:szCs w:val="18"/>
              </w:rPr>
              <w:t>е</w:t>
            </w:r>
            <w:r w:rsidRPr="0053759F">
              <w:rPr>
                <w:rFonts w:ascii="Arial" w:hAnsi="Arial" w:cs="Arial"/>
                <w:sz w:val="18"/>
                <w:szCs w:val="18"/>
              </w:rPr>
              <w:t>ния</w:t>
            </w:r>
          </w:p>
        </w:tc>
        <w:tc>
          <w:tcPr>
            <w:tcW w:w="333"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42,3</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55,2</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69,6</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103,5</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115</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122,3</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127</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127,2</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113,1</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93,9</w:t>
            </w:r>
          </w:p>
        </w:tc>
      </w:tr>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rPr>
                <w:rFonts w:ascii="Arial" w:hAnsi="Arial" w:cs="Arial"/>
                <w:sz w:val="18"/>
                <w:szCs w:val="18"/>
              </w:rPr>
            </w:pPr>
            <w:r w:rsidRPr="0053759F">
              <w:rPr>
                <w:rFonts w:ascii="Arial" w:hAnsi="Arial" w:cs="Arial"/>
                <w:sz w:val="18"/>
                <w:szCs w:val="18"/>
              </w:rPr>
              <w:t>Число амбулаторно-поликлинических учреждений, единиц</w:t>
            </w:r>
          </w:p>
        </w:tc>
        <w:tc>
          <w:tcPr>
            <w:tcW w:w="333"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192</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149</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150</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155</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144</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145</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148</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156</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181</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184</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104</w:t>
            </w:r>
          </w:p>
        </w:tc>
      </w:tr>
      <w:tr w:rsidR="000C6EB8" w:rsidRPr="0053759F" w:rsidTr="000C6EB8">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rPr>
                <w:rFonts w:ascii="Arial" w:hAnsi="Arial" w:cs="Arial"/>
                <w:sz w:val="18"/>
                <w:szCs w:val="18"/>
                <w:vertAlign w:val="superscript"/>
              </w:rPr>
            </w:pPr>
            <w:r w:rsidRPr="0053759F">
              <w:rPr>
                <w:rFonts w:ascii="Arial" w:hAnsi="Arial" w:cs="Arial"/>
                <w:sz w:val="18"/>
                <w:szCs w:val="18"/>
              </w:rPr>
              <w:t>Мощности амбулаторно-поликлинических учреждений – всего посещений в смену</w:t>
            </w:r>
          </w:p>
        </w:tc>
        <w:tc>
          <w:tcPr>
            <w:tcW w:w="333"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6470AA" w:rsidRDefault="000C6EB8" w:rsidP="000C6EB8">
            <w:pPr>
              <w:spacing w:before="60" w:after="60"/>
              <w:ind w:right="170"/>
              <w:jc w:val="right"/>
              <w:rPr>
                <w:rFonts w:ascii="Arial" w:hAnsi="Arial" w:cs="Arial"/>
                <w:sz w:val="18"/>
                <w:szCs w:val="18"/>
              </w:rPr>
            </w:pPr>
            <w:r>
              <w:rPr>
                <w:rFonts w:ascii="Arial" w:hAnsi="Arial" w:cs="Arial"/>
                <w:sz w:val="18"/>
                <w:szCs w:val="18"/>
              </w:rPr>
              <w:t>…</w:t>
            </w:r>
          </w:p>
        </w:tc>
        <w:tc>
          <w:tcPr>
            <w:tcW w:w="331" w:type="pct"/>
            <w:vAlign w:val="bottom"/>
          </w:tcPr>
          <w:p w:rsidR="000C6EB8" w:rsidRPr="006470AA"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w:t>
            </w:r>
          </w:p>
        </w:tc>
        <w:tc>
          <w:tcPr>
            <w:tcW w:w="331" w:type="pct"/>
            <w:vAlign w:val="bottom"/>
          </w:tcPr>
          <w:p w:rsidR="000C6EB8" w:rsidRPr="006470AA"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w:t>
            </w:r>
          </w:p>
        </w:tc>
        <w:tc>
          <w:tcPr>
            <w:tcW w:w="331" w:type="pct"/>
            <w:vAlign w:val="bottom"/>
          </w:tcPr>
          <w:p w:rsidR="000C6EB8" w:rsidRPr="006470AA" w:rsidRDefault="000C6EB8" w:rsidP="000C6EB8">
            <w:pPr>
              <w:spacing w:before="60" w:after="60"/>
              <w:ind w:left="-70"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left="-70" w:right="170"/>
              <w:jc w:val="right"/>
              <w:rPr>
                <w:rFonts w:ascii="Arial" w:hAnsi="Arial" w:cs="Arial"/>
                <w:sz w:val="18"/>
                <w:szCs w:val="18"/>
              </w:rPr>
            </w:pPr>
            <w:r w:rsidRPr="0053759F">
              <w:rPr>
                <w:rFonts w:ascii="Arial" w:hAnsi="Arial" w:cs="Arial"/>
                <w:sz w:val="18"/>
                <w:szCs w:val="18"/>
              </w:rPr>
              <w:t>12530</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12530</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27989</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31462</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32029</w:t>
            </w:r>
          </w:p>
        </w:tc>
      </w:tr>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ind w:left="284"/>
              <w:rPr>
                <w:rFonts w:ascii="Arial" w:hAnsi="Arial" w:cs="Arial"/>
                <w:sz w:val="18"/>
                <w:szCs w:val="18"/>
              </w:rPr>
            </w:pPr>
            <w:r w:rsidRPr="0053759F">
              <w:rPr>
                <w:rFonts w:ascii="Arial" w:hAnsi="Arial" w:cs="Arial"/>
                <w:sz w:val="18"/>
                <w:szCs w:val="18"/>
              </w:rPr>
              <w:t>в расчете на 10 тыс. насел</w:t>
            </w:r>
            <w:r w:rsidRPr="0053759F">
              <w:rPr>
                <w:rFonts w:ascii="Arial" w:hAnsi="Arial" w:cs="Arial"/>
                <w:sz w:val="18"/>
                <w:szCs w:val="18"/>
              </w:rPr>
              <w:t>е</w:t>
            </w:r>
            <w:r w:rsidRPr="0053759F">
              <w:rPr>
                <w:rFonts w:ascii="Arial" w:hAnsi="Arial" w:cs="Arial"/>
                <w:sz w:val="18"/>
                <w:szCs w:val="18"/>
              </w:rPr>
              <w:t>ния</w:t>
            </w:r>
          </w:p>
        </w:tc>
        <w:tc>
          <w:tcPr>
            <w:tcW w:w="333"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6470AA" w:rsidRDefault="000C6EB8" w:rsidP="000C6EB8">
            <w:pPr>
              <w:spacing w:before="60" w:after="60"/>
              <w:ind w:right="170"/>
              <w:jc w:val="right"/>
              <w:rPr>
                <w:rFonts w:ascii="Arial" w:hAnsi="Arial" w:cs="Arial"/>
                <w:sz w:val="18"/>
                <w:szCs w:val="18"/>
              </w:rPr>
            </w:pPr>
            <w:r>
              <w:rPr>
                <w:rFonts w:ascii="Arial" w:hAnsi="Arial" w:cs="Arial"/>
                <w:sz w:val="18"/>
                <w:szCs w:val="18"/>
              </w:rPr>
              <w:t>…</w:t>
            </w:r>
          </w:p>
        </w:tc>
        <w:tc>
          <w:tcPr>
            <w:tcW w:w="331" w:type="pct"/>
            <w:vAlign w:val="bottom"/>
          </w:tcPr>
          <w:p w:rsidR="000C6EB8" w:rsidRPr="006470AA"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w:t>
            </w:r>
          </w:p>
        </w:tc>
        <w:tc>
          <w:tcPr>
            <w:tcW w:w="331" w:type="pct"/>
            <w:vAlign w:val="bottom"/>
          </w:tcPr>
          <w:p w:rsidR="000C6EB8" w:rsidRPr="006470AA"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w:t>
            </w:r>
          </w:p>
        </w:tc>
        <w:tc>
          <w:tcPr>
            <w:tcW w:w="331" w:type="pct"/>
            <w:vAlign w:val="bottom"/>
          </w:tcPr>
          <w:p w:rsidR="000C6EB8" w:rsidRPr="006470AA"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98,1</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98,1</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197,4</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216,5</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249,8</w:t>
            </w:r>
          </w:p>
        </w:tc>
      </w:tr>
      <w:tr w:rsidR="000C6EB8" w:rsidRPr="0053759F" w:rsidTr="000C6EB8">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rPr>
                <w:rFonts w:ascii="Arial" w:hAnsi="Arial" w:cs="Arial"/>
                <w:sz w:val="18"/>
                <w:szCs w:val="18"/>
              </w:rPr>
            </w:pPr>
            <w:r w:rsidRPr="0053759F">
              <w:rPr>
                <w:rFonts w:ascii="Arial" w:hAnsi="Arial" w:cs="Arial"/>
                <w:sz w:val="18"/>
                <w:szCs w:val="18"/>
              </w:rPr>
              <w:t>Число женских консультаций и детских поликлиник (отдел</w:t>
            </w:r>
            <w:r w:rsidRPr="0053759F">
              <w:rPr>
                <w:rFonts w:ascii="Arial" w:hAnsi="Arial" w:cs="Arial"/>
                <w:sz w:val="18"/>
                <w:szCs w:val="18"/>
              </w:rPr>
              <w:t>е</w:t>
            </w:r>
            <w:r w:rsidRPr="0053759F">
              <w:rPr>
                <w:rFonts w:ascii="Arial" w:hAnsi="Arial" w:cs="Arial"/>
                <w:sz w:val="18"/>
                <w:szCs w:val="18"/>
              </w:rPr>
              <w:t>ний), включая входящих в с</w:t>
            </w:r>
            <w:r w:rsidRPr="0053759F">
              <w:rPr>
                <w:rFonts w:ascii="Arial" w:hAnsi="Arial" w:cs="Arial"/>
                <w:sz w:val="18"/>
                <w:szCs w:val="18"/>
              </w:rPr>
              <w:t>о</w:t>
            </w:r>
            <w:r w:rsidRPr="0053759F">
              <w:rPr>
                <w:rFonts w:ascii="Arial" w:hAnsi="Arial" w:cs="Arial"/>
                <w:sz w:val="18"/>
                <w:szCs w:val="18"/>
              </w:rPr>
              <w:t>став ЛПУ, единиц</w:t>
            </w:r>
          </w:p>
        </w:tc>
        <w:tc>
          <w:tcPr>
            <w:tcW w:w="333"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51</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69</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98</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98</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102</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100</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102</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109</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122</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118</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3A3E4E" w:rsidRDefault="000C6EB8" w:rsidP="000C6EB8">
            <w:pPr>
              <w:spacing w:before="60" w:after="60"/>
              <w:ind w:right="170"/>
              <w:jc w:val="right"/>
              <w:rPr>
                <w:rFonts w:ascii="Arial" w:hAnsi="Arial" w:cs="Arial"/>
                <w:sz w:val="18"/>
                <w:szCs w:val="18"/>
                <w:lang w:val="en-US"/>
              </w:rPr>
            </w:pPr>
            <w:r>
              <w:rPr>
                <w:rFonts w:ascii="Arial" w:hAnsi="Arial" w:cs="Arial"/>
                <w:sz w:val="18"/>
                <w:szCs w:val="18"/>
                <w:lang w:val="en-US"/>
              </w:rPr>
              <w:t>105</w:t>
            </w:r>
          </w:p>
        </w:tc>
      </w:tr>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rPr>
                <w:rFonts w:ascii="Arial" w:hAnsi="Arial" w:cs="Arial"/>
                <w:sz w:val="18"/>
                <w:szCs w:val="18"/>
              </w:rPr>
            </w:pPr>
            <w:r w:rsidRPr="0053759F">
              <w:rPr>
                <w:rFonts w:ascii="Arial" w:hAnsi="Arial" w:cs="Arial"/>
                <w:sz w:val="18"/>
                <w:szCs w:val="18"/>
              </w:rPr>
              <w:t>Число фельдшерско-акушерских пунктов, единиц</w:t>
            </w:r>
          </w:p>
        </w:tc>
        <w:tc>
          <w:tcPr>
            <w:tcW w:w="333"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434</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539</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523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596</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625</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603</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595</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582</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584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573</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564</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62</w:t>
            </w:r>
          </w:p>
        </w:tc>
      </w:tr>
      <w:tr w:rsidR="000C6EB8" w:rsidRPr="0053759F" w:rsidTr="000C6EB8">
        <w:tc>
          <w:tcPr>
            <w:cnfStyle w:val="000010000000" w:firstRow="0" w:lastRow="0" w:firstColumn="0" w:lastColumn="0" w:oddVBand="1" w:evenVBand="0" w:oddHBand="0" w:evenHBand="0" w:firstRowFirstColumn="0" w:firstRowLastColumn="0" w:lastRowFirstColumn="0" w:lastRowLastColumn="0"/>
            <w:tcW w:w="1025" w:type="pct"/>
          </w:tcPr>
          <w:p w:rsidR="000C6EB8" w:rsidRPr="00D631C8" w:rsidRDefault="000C6EB8" w:rsidP="000C6EB8">
            <w:pPr>
              <w:spacing w:before="60" w:after="60"/>
              <w:rPr>
                <w:rFonts w:ascii="Arial" w:hAnsi="Arial" w:cs="Arial"/>
                <w:sz w:val="18"/>
                <w:szCs w:val="18"/>
                <w:vertAlign w:val="superscript"/>
              </w:rPr>
            </w:pPr>
            <w:r>
              <w:rPr>
                <w:rFonts w:ascii="Arial" w:hAnsi="Arial" w:cs="Arial"/>
                <w:sz w:val="18"/>
                <w:szCs w:val="18"/>
              </w:rPr>
              <w:t>Число фельдшерских пунктов, единиц</w:t>
            </w:r>
            <w:proofErr w:type="gramStart"/>
            <w:r>
              <w:rPr>
                <w:rFonts w:ascii="Arial" w:hAnsi="Arial" w:cs="Arial"/>
                <w:sz w:val="18"/>
                <w:szCs w:val="18"/>
                <w:vertAlign w:val="superscript"/>
              </w:rPr>
              <w:t>2</w:t>
            </w:r>
            <w:proofErr w:type="gramEnd"/>
            <w:r>
              <w:rPr>
                <w:rFonts w:ascii="Arial" w:hAnsi="Arial" w:cs="Arial"/>
                <w:sz w:val="18"/>
                <w:szCs w:val="18"/>
                <w:vertAlign w:val="superscript"/>
              </w:rPr>
              <w:t>)</w:t>
            </w:r>
          </w:p>
        </w:tc>
        <w:tc>
          <w:tcPr>
            <w:tcW w:w="333"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Default="000C6EB8" w:rsidP="000C6EB8">
            <w:pPr>
              <w:spacing w:before="60" w:after="60"/>
              <w:ind w:right="170"/>
              <w:jc w:val="right"/>
              <w:rPr>
                <w:rFonts w:ascii="Arial" w:hAnsi="Arial" w:cs="Arial"/>
                <w:sz w:val="18"/>
                <w:szCs w:val="18"/>
              </w:rPr>
            </w:pPr>
          </w:p>
        </w:tc>
        <w:tc>
          <w:tcPr>
            <w:tcW w:w="331" w:type="pct"/>
            <w:vAlign w:val="bottom"/>
          </w:tcPr>
          <w:p w:rsidR="000C6EB8"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p>
        </w:tc>
        <w:tc>
          <w:tcPr>
            <w:tcW w:w="331" w:type="pct"/>
            <w:vAlign w:val="bottom"/>
          </w:tcPr>
          <w:p w:rsidR="000C6EB8"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p>
        </w:tc>
        <w:tc>
          <w:tcPr>
            <w:tcW w:w="331" w:type="pct"/>
            <w:vAlign w:val="bottom"/>
          </w:tcPr>
          <w:p w:rsidR="000C6EB8"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p>
        </w:tc>
        <w:tc>
          <w:tcPr>
            <w:tcW w:w="331" w:type="pct"/>
            <w:vAlign w:val="bottom"/>
          </w:tcPr>
          <w:p w:rsidR="000C6EB8"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Default="000C6EB8" w:rsidP="000C6EB8">
            <w:pPr>
              <w:spacing w:before="60" w:after="60"/>
              <w:ind w:right="170"/>
              <w:jc w:val="right"/>
              <w:rPr>
                <w:rFonts w:ascii="Arial" w:hAnsi="Arial" w:cs="Arial"/>
                <w:sz w:val="18"/>
                <w:szCs w:val="18"/>
              </w:rPr>
            </w:pPr>
            <w:r>
              <w:rPr>
                <w:rFonts w:ascii="Arial" w:hAnsi="Arial" w:cs="Arial"/>
                <w:sz w:val="18"/>
                <w:szCs w:val="18"/>
              </w:rPr>
              <w:t>430</w:t>
            </w:r>
          </w:p>
        </w:tc>
      </w:tr>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rPr>
                <w:rFonts w:ascii="Arial" w:hAnsi="Arial" w:cs="Arial"/>
                <w:sz w:val="18"/>
                <w:szCs w:val="18"/>
              </w:rPr>
            </w:pPr>
            <w:r w:rsidRPr="0053759F">
              <w:rPr>
                <w:rFonts w:ascii="Arial" w:hAnsi="Arial" w:cs="Arial"/>
                <w:sz w:val="18"/>
                <w:szCs w:val="18"/>
              </w:rPr>
              <w:t>Численность врачей, не вкл</w:t>
            </w:r>
            <w:r w:rsidRPr="0053759F">
              <w:rPr>
                <w:rFonts w:ascii="Arial" w:hAnsi="Arial" w:cs="Arial"/>
                <w:sz w:val="18"/>
                <w:szCs w:val="18"/>
              </w:rPr>
              <w:t>ю</w:t>
            </w:r>
            <w:r w:rsidRPr="0053759F">
              <w:rPr>
                <w:rFonts w:ascii="Arial" w:hAnsi="Arial" w:cs="Arial"/>
                <w:sz w:val="18"/>
                <w:szCs w:val="18"/>
              </w:rPr>
              <w:t>чая зубных – всего, человек</w:t>
            </w:r>
          </w:p>
        </w:tc>
        <w:tc>
          <w:tcPr>
            <w:tcW w:w="333"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368</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923</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983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1221</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1572</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2184</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2713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3097</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3823</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4356</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5167</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4715</w:t>
            </w:r>
          </w:p>
        </w:tc>
      </w:tr>
      <w:tr w:rsidR="000C6EB8" w:rsidRPr="0053759F" w:rsidTr="000C6EB8">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ind w:left="284"/>
              <w:rPr>
                <w:rFonts w:ascii="Arial" w:hAnsi="Arial" w:cs="Arial"/>
                <w:sz w:val="18"/>
                <w:szCs w:val="18"/>
              </w:rPr>
            </w:pPr>
            <w:r w:rsidRPr="0053759F">
              <w:rPr>
                <w:rFonts w:ascii="Arial" w:hAnsi="Arial" w:cs="Arial"/>
                <w:sz w:val="18"/>
                <w:szCs w:val="18"/>
              </w:rPr>
              <w:t>в расчете на 10 тыс. насел</w:t>
            </w:r>
            <w:r w:rsidRPr="0053759F">
              <w:rPr>
                <w:rFonts w:ascii="Arial" w:hAnsi="Arial" w:cs="Arial"/>
                <w:sz w:val="18"/>
                <w:szCs w:val="18"/>
              </w:rPr>
              <w:t>е</w:t>
            </w:r>
            <w:r w:rsidRPr="0053759F">
              <w:rPr>
                <w:rFonts w:ascii="Arial" w:hAnsi="Arial" w:cs="Arial"/>
                <w:sz w:val="18"/>
                <w:szCs w:val="18"/>
              </w:rPr>
              <w:t>ния</w:t>
            </w:r>
          </w:p>
        </w:tc>
        <w:tc>
          <w:tcPr>
            <w:tcW w:w="333"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8,7</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8,7</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10,8</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17,7</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24,3</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28,7</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30,6</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35,6</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36,8</w:t>
            </w:r>
          </w:p>
        </w:tc>
      </w:tr>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rPr>
                <w:rFonts w:ascii="Arial" w:hAnsi="Arial" w:cs="Arial"/>
                <w:sz w:val="18"/>
                <w:szCs w:val="18"/>
              </w:rPr>
            </w:pPr>
            <w:r w:rsidRPr="0053759F">
              <w:rPr>
                <w:rFonts w:ascii="Arial" w:hAnsi="Arial" w:cs="Arial"/>
                <w:sz w:val="18"/>
                <w:szCs w:val="18"/>
              </w:rPr>
              <w:t>Численность среднего медпе</w:t>
            </w:r>
            <w:r w:rsidRPr="0053759F">
              <w:rPr>
                <w:rFonts w:ascii="Arial" w:hAnsi="Arial" w:cs="Arial"/>
                <w:sz w:val="18"/>
                <w:szCs w:val="18"/>
              </w:rPr>
              <w:t>р</w:t>
            </w:r>
            <w:r w:rsidRPr="0053759F">
              <w:rPr>
                <w:rFonts w:ascii="Arial" w:hAnsi="Arial" w:cs="Arial"/>
                <w:sz w:val="18"/>
                <w:szCs w:val="18"/>
              </w:rPr>
              <w:t>сонала – всего, человек</w:t>
            </w:r>
          </w:p>
        </w:tc>
        <w:tc>
          <w:tcPr>
            <w:tcW w:w="333"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2310</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3647</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4561</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6134</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7331</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9653</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11952</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13419</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15257</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17627</w:t>
            </w:r>
          </w:p>
        </w:tc>
        <w:tc>
          <w:tcPr>
            <w:tcW w:w="331" w:type="pct"/>
            <w:vAlign w:val="bottom"/>
          </w:tcPr>
          <w:p w:rsidR="000C6EB8" w:rsidRPr="0053759F" w:rsidRDefault="000C6EB8" w:rsidP="000C6EB8">
            <w:pPr>
              <w:spacing w:before="60" w:after="6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3759F">
              <w:rPr>
                <w:rFonts w:ascii="Arial" w:hAnsi="Arial" w:cs="Arial"/>
                <w:sz w:val="18"/>
                <w:szCs w:val="18"/>
              </w:rPr>
              <w:t>18367</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16298</w:t>
            </w:r>
          </w:p>
        </w:tc>
      </w:tr>
      <w:tr w:rsidR="000C6EB8" w:rsidRPr="0053759F" w:rsidTr="000C6EB8">
        <w:tc>
          <w:tcPr>
            <w:cnfStyle w:val="000010000000" w:firstRow="0" w:lastRow="0" w:firstColumn="0" w:lastColumn="0" w:oddVBand="1" w:evenVBand="0" w:oddHBand="0" w:evenHBand="0" w:firstRowFirstColumn="0" w:firstRowLastColumn="0" w:lastRowFirstColumn="0" w:lastRowLastColumn="0"/>
            <w:tcW w:w="1025" w:type="pct"/>
          </w:tcPr>
          <w:p w:rsidR="000C6EB8" w:rsidRPr="0053759F" w:rsidRDefault="000C6EB8" w:rsidP="000C6EB8">
            <w:pPr>
              <w:spacing w:before="60" w:after="60"/>
              <w:ind w:left="284"/>
              <w:rPr>
                <w:rFonts w:ascii="Arial" w:hAnsi="Arial" w:cs="Arial"/>
                <w:sz w:val="18"/>
                <w:szCs w:val="18"/>
              </w:rPr>
            </w:pPr>
            <w:r w:rsidRPr="0053759F">
              <w:rPr>
                <w:rFonts w:ascii="Arial" w:hAnsi="Arial" w:cs="Arial"/>
                <w:sz w:val="18"/>
                <w:szCs w:val="18"/>
              </w:rPr>
              <w:t>в расчете на 10 тыс. насел</w:t>
            </w:r>
            <w:r w:rsidRPr="0053759F">
              <w:rPr>
                <w:rFonts w:ascii="Arial" w:hAnsi="Arial" w:cs="Arial"/>
                <w:sz w:val="18"/>
                <w:szCs w:val="18"/>
              </w:rPr>
              <w:t>е</w:t>
            </w:r>
            <w:r w:rsidRPr="0053759F">
              <w:rPr>
                <w:rFonts w:ascii="Arial" w:hAnsi="Arial" w:cs="Arial"/>
                <w:sz w:val="18"/>
                <w:szCs w:val="18"/>
              </w:rPr>
              <w:t>ния</w:t>
            </w:r>
          </w:p>
        </w:tc>
        <w:tc>
          <w:tcPr>
            <w:tcW w:w="333"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33" w:type="pct"/>
            <w:vAlign w:val="bottom"/>
          </w:tcPr>
          <w:p w:rsidR="000C6EB8" w:rsidRPr="0053759F" w:rsidRDefault="000C6EB8" w:rsidP="000C6EB8">
            <w:pPr>
              <w:spacing w:before="60" w:after="60"/>
              <w:ind w:right="170"/>
              <w:jc w:val="right"/>
              <w:rPr>
                <w:rFonts w:ascii="Arial" w:hAnsi="Arial" w:cs="Arial"/>
                <w:sz w:val="18"/>
                <w:szCs w:val="18"/>
              </w:rPr>
            </w:pPr>
            <w:r>
              <w:rPr>
                <w:rFonts w:ascii="Arial" w:hAnsi="Arial" w:cs="Arial"/>
                <w:sz w:val="18"/>
                <w:szCs w:val="18"/>
              </w:rPr>
              <w:t>32,9</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40,4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54,2</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61</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78,2</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94</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105,3</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114,7</w:t>
            </w:r>
          </w:p>
        </w:tc>
        <w:tc>
          <w:tcPr>
            <w:cnfStyle w:val="000010000000" w:firstRow="0" w:lastRow="0" w:firstColumn="0" w:lastColumn="0" w:oddVBand="1" w:evenVBand="0" w:oddHBand="0" w:evenHBand="0" w:firstRowFirstColumn="0" w:firstRowLastColumn="0" w:lastRowFirstColumn="0" w:lastRowLastColumn="0"/>
            <w:tcW w:w="331" w:type="pct"/>
            <w:vAlign w:val="bottom"/>
          </w:tcPr>
          <w:p w:rsidR="000C6EB8" w:rsidRPr="0053759F" w:rsidRDefault="000C6EB8" w:rsidP="000C6EB8">
            <w:pPr>
              <w:spacing w:before="60" w:after="60"/>
              <w:ind w:right="170"/>
              <w:jc w:val="right"/>
              <w:rPr>
                <w:rFonts w:ascii="Arial" w:hAnsi="Arial" w:cs="Arial"/>
                <w:sz w:val="18"/>
                <w:szCs w:val="18"/>
              </w:rPr>
            </w:pPr>
            <w:r w:rsidRPr="0053759F">
              <w:rPr>
                <w:rFonts w:ascii="Arial" w:hAnsi="Arial" w:cs="Arial"/>
                <w:sz w:val="18"/>
                <w:szCs w:val="18"/>
              </w:rPr>
              <w:t>123,7</w:t>
            </w:r>
          </w:p>
        </w:tc>
        <w:tc>
          <w:tcPr>
            <w:tcW w:w="331" w:type="pct"/>
            <w:vAlign w:val="bottom"/>
          </w:tcPr>
          <w:p w:rsidR="000C6EB8" w:rsidRPr="0053759F" w:rsidRDefault="000C6EB8" w:rsidP="000C6EB8">
            <w:pPr>
              <w:spacing w:before="60" w:after="6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3759F">
              <w:rPr>
                <w:rFonts w:ascii="Arial" w:hAnsi="Arial" w:cs="Arial"/>
                <w:sz w:val="18"/>
                <w:szCs w:val="18"/>
              </w:rPr>
              <w:t>126,4</w:t>
            </w:r>
          </w:p>
        </w:tc>
        <w:tc>
          <w:tcPr>
            <w:cnfStyle w:val="000010000000" w:firstRow="0" w:lastRow="0" w:firstColumn="0" w:lastColumn="0" w:oddVBand="1" w:evenVBand="0" w:oddHBand="0" w:evenHBand="0" w:firstRowFirstColumn="0" w:firstRowLastColumn="0" w:lastRowFirstColumn="0" w:lastRowLastColumn="0"/>
            <w:tcW w:w="330" w:type="pct"/>
            <w:vAlign w:val="bottom"/>
          </w:tcPr>
          <w:p w:rsidR="000C6EB8" w:rsidRPr="003A3E4E" w:rsidRDefault="000C6EB8" w:rsidP="000C6EB8">
            <w:pPr>
              <w:spacing w:before="60" w:after="60"/>
              <w:ind w:right="170"/>
              <w:jc w:val="right"/>
              <w:rPr>
                <w:rFonts w:ascii="Arial" w:hAnsi="Arial" w:cs="Arial"/>
                <w:sz w:val="18"/>
                <w:szCs w:val="18"/>
                <w:lang w:val="en-US"/>
              </w:rPr>
            </w:pPr>
            <w:r>
              <w:rPr>
                <w:rFonts w:ascii="Arial" w:hAnsi="Arial" w:cs="Arial"/>
                <w:sz w:val="18"/>
                <w:szCs w:val="18"/>
              </w:rPr>
              <w:t>127,1</w:t>
            </w:r>
          </w:p>
        </w:tc>
      </w:tr>
      <w:tr w:rsidR="000C6EB8" w:rsidRPr="0053759F"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13"/>
          </w:tcPr>
          <w:p w:rsidR="000C6EB8" w:rsidRPr="00D631C8" w:rsidRDefault="000C6EB8" w:rsidP="000C6EB8">
            <w:pPr>
              <w:pStyle w:val="afb"/>
              <w:numPr>
                <w:ilvl w:val="0"/>
                <w:numId w:val="2"/>
              </w:numPr>
              <w:spacing w:before="60" w:after="60"/>
              <w:ind w:left="284" w:hanging="142"/>
              <w:rPr>
                <w:rFonts w:ascii="Arial" w:hAnsi="Arial" w:cs="Arial"/>
                <w:sz w:val="18"/>
                <w:szCs w:val="18"/>
                <w:vertAlign w:val="superscript"/>
              </w:rPr>
            </w:pPr>
            <w:r>
              <w:rPr>
                <w:rFonts w:ascii="Arial" w:hAnsi="Arial" w:cs="Arial"/>
                <w:sz w:val="18"/>
                <w:szCs w:val="18"/>
              </w:rPr>
              <w:t>Число женских  консультаций, отделений, кабинетов</w:t>
            </w:r>
          </w:p>
          <w:p w:rsidR="000C6EB8" w:rsidRPr="008235A0" w:rsidRDefault="000C6EB8" w:rsidP="000C6EB8">
            <w:pPr>
              <w:pStyle w:val="afb"/>
              <w:numPr>
                <w:ilvl w:val="0"/>
                <w:numId w:val="2"/>
              </w:numPr>
              <w:spacing w:before="60" w:after="60"/>
              <w:ind w:left="284" w:hanging="142"/>
              <w:rPr>
                <w:rFonts w:ascii="Arial" w:hAnsi="Arial" w:cs="Arial"/>
                <w:sz w:val="18"/>
                <w:szCs w:val="18"/>
                <w:vertAlign w:val="superscript"/>
              </w:rPr>
            </w:pPr>
            <w:r>
              <w:rPr>
                <w:rFonts w:ascii="Arial" w:hAnsi="Arial" w:cs="Arial"/>
                <w:sz w:val="18"/>
                <w:szCs w:val="18"/>
              </w:rPr>
              <w:t>С 2011г. Число фельдшерских и фельдшерско-акушерских пунктов считается раздельно</w:t>
            </w:r>
          </w:p>
        </w:tc>
      </w:tr>
    </w:tbl>
    <w:p w:rsidR="000C6EB8" w:rsidRDefault="000C6EB8" w:rsidP="000C6EB8">
      <w:pPr>
        <w:pStyle w:val="a3"/>
        <w:spacing w:line="240" w:lineRule="auto"/>
        <w:jc w:val="left"/>
        <w:rPr>
          <w:rFonts w:ascii="Arial" w:hAnsi="Arial" w:cs="Arial"/>
          <w:b w:val="0"/>
          <w:i/>
          <w:iCs/>
        </w:rPr>
      </w:pPr>
    </w:p>
    <w:p w:rsidR="00A97E1C" w:rsidRDefault="00A97E1C">
      <w:pPr>
        <w:pStyle w:val="21"/>
        <w:spacing w:line="240" w:lineRule="auto"/>
        <w:jc w:val="center"/>
        <w:rPr>
          <w:rFonts w:cs="Arial"/>
          <w:i/>
          <w:iCs/>
        </w:rPr>
      </w:pPr>
    </w:p>
    <w:p w:rsidR="000C6EB8" w:rsidRPr="00B37742" w:rsidRDefault="000C6EB8" w:rsidP="000C6EB8">
      <w:pPr>
        <w:pStyle w:val="1"/>
        <w:rPr>
          <w:color w:val="548DD4" w:themeColor="text2" w:themeTint="99"/>
        </w:rPr>
      </w:pPr>
      <w:bookmarkStart w:id="21" w:name="_Toc309826890"/>
      <w:bookmarkEnd w:id="11"/>
      <w:bookmarkEnd w:id="12"/>
      <w:bookmarkEnd w:id="13"/>
      <w:r w:rsidRPr="00B37742">
        <w:rPr>
          <w:color w:val="548DD4" w:themeColor="text2" w:themeTint="99"/>
        </w:rPr>
        <w:lastRenderedPageBreak/>
        <w:t>КУЛЬТУРА</w:t>
      </w:r>
      <w:bookmarkEnd w:id="21"/>
    </w:p>
    <w:p w:rsidR="000C6EB8" w:rsidRDefault="000C6EB8" w:rsidP="000C6EB8">
      <w:pPr>
        <w:pStyle w:val="21"/>
        <w:spacing w:line="240" w:lineRule="auto"/>
        <w:rPr>
          <w:rFonts w:cs="Arial"/>
          <w:i/>
          <w:iCs/>
          <w:sz w:val="22"/>
        </w:rPr>
      </w:pPr>
      <w:r>
        <w:rPr>
          <w:rFonts w:cs="Arial"/>
          <w:i/>
          <w:iCs/>
          <w:noProof/>
          <w:sz w:val="22"/>
        </w:rPr>
        <w:drawing>
          <wp:anchor distT="0" distB="0" distL="114300" distR="114300" simplePos="0" relativeHeight="251753472" behindDoc="0" locked="0" layoutInCell="1" allowOverlap="1">
            <wp:simplePos x="0" y="0"/>
            <wp:positionH relativeFrom="column">
              <wp:posOffset>43180</wp:posOffset>
            </wp:positionH>
            <wp:positionV relativeFrom="paragraph">
              <wp:posOffset>32385</wp:posOffset>
            </wp:positionV>
            <wp:extent cx="1512570" cy="1127760"/>
            <wp:effectExtent l="19050" t="0" r="0" b="0"/>
            <wp:wrapSquare wrapText="bothSides"/>
            <wp:docPr id="63" name="Рисунок 60" descr="культу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льтура1.jpg"/>
                    <pic:cNvPicPr/>
                  </pic:nvPicPr>
                  <pic:blipFill>
                    <a:blip r:embed="rId35">
                      <a:lum bright="10000"/>
                    </a:blip>
                    <a:stretch>
                      <a:fillRect/>
                    </a:stretch>
                  </pic:blipFill>
                  <pic:spPr>
                    <a:xfrm>
                      <a:off x="0" y="0"/>
                      <a:ext cx="1512570" cy="1127760"/>
                    </a:xfrm>
                    <a:prstGeom prst="rect">
                      <a:avLst/>
                    </a:prstGeom>
                    <a:ln>
                      <a:noFill/>
                    </a:ln>
                    <a:effectLst>
                      <a:softEdge rad="112500"/>
                    </a:effectLst>
                  </pic:spPr>
                </pic:pic>
              </a:graphicData>
            </a:graphic>
          </wp:anchor>
        </w:drawing>
      </w:r>
    </w:p>
    <w:p w:rsidR="000C6EB8" w:rsidRDefault="000C6EB8" w:rsidP="000C6EB8">
      <w:pPr>
        <w:pStyle w:val="21"/>
        <w:spacing w:line="240" w:lineRule="auto"/>
        <w:ind w:firstLine="709"/>
        <w:jc w:val="both"/>
        <w:rPr>
          <w:rFonts w:cs="Arial"/>
          <w:sz w:val="22"/>
        </w:rPr>
      </w:pPr>
      <w:r>
        <w:rPr>
          <w:rFonts w:cs="Arial"/>
          <w:sz w:val="22"/>
        </w:rPr>
        <w:t>Деятельность учреждений культуры в области была направлена на выполнение целевых  культурных программ по сохранению и возрождению культурного наследия, народного творчества, национальных культур, традиций и обычаев.</w:t>
      </w:r>
    </w:p>
    <w:p w:rsidR="000C6EB8" w:rsidRDefault="000C6EB8" w:rsidP="000C6EB8">
      <w:pPr>
        <w:pStyle w:val="21"/>
        <w:spacing w:line="240" w:lineRule="auto"/>
        <w:ind w:firstLine="709"/>
        <w:jc w:val="both"/>
        <w:rPr>
          <w:rFonts w:cs="Arial"/>
          <w:sz w:val="22"/>
        </w:rPr>
      </w:pPr>
    </w:p>
    <w:p w:rsidR="000C6EB8" w:rsidRDefault="000C6EB8" w:rsidP="000C6EB8">
      <w:pPr>
        <w:pStyle w:val="8"/>
        <w:ind w:left="4820"/>
        <w:jc w:val="left"/>
        <w:rPr>
          <w:b w:val="0"/>
          <w:i/>
          <w:iCs/>
        </w:rPr>
      </w:pPr>
      <w:r>
        <w:rPr>
          <w:sz w:val="22"/>
        </w:rPr>
        <w:t>УЧРЕЖДЕНИЯ КУЛЬТУРЫ И ИСКУССТВА</w:t>
      </w:r>
    </w:p>
    <w:tbl>
      <w:tblPr>
        <w:tblStyle w:val="-11"/>
        <w:tblW w:w="5000" w:type="pct"/>
        <w:tblLayout w:type="fixed"/>
        <w:tblLook w:val="0000" w:firstRow="0" w:lastRow="0" w:firstColumn="0" w:lastColumn="0" w:noHBand="0" w:noVBand="0"/>
      </w:tblPr>
      <w:tblGrid>
        <w:gridCol w:w="2412"/>
        <w:gridCol w:w="1008"/>
        <w:gridCol w:w="1010"/>
        <w:gridCol w:w="1010"/>
        <w:gridCol w:w="1009"/>
        <w:gridCol w:w="1009"/>
        <w:gridCol w:w="1009"/>
        <w:gridCol w:w="1009"/>
        <w:gridCol w:w="1009"/>
        <w:gridCol w:w="1009"/>
        <w:gridCol w:w="1009"/>
        <w:gridCol w:w="1009"/>
        <w:gridCol w:w="992"/>
      </w:tblGrid>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shd w:val="clear" w:color="auto" w:fill="C6D9F1" w:themeFill="text2" w:themeFillTint="33"/>
          </w:tcPr>
          <w:p w:rsidR="000C6EB8" w:rsidRPr="00AB6315" w:rsidRDefault="000C6EB8" w:rsidP="000C6EB8">
            <w:pPr>
              <w:spacing w:before="60" w:after="60"/>
              <w:jc w:val="center"/>
              <w:rPr>
                <w:rFonts w:ascii="Arial" w:hAnsi="Arial" w:cs="Arial"/>
                <w:sz w:val="18"/>
                <w:szCs w:val="18"/>
              </w:rPr>
            </w:pPr>
          </w:p>
        </w:tc>
        <w:tc>
          <w:tcPr>
            <w:tcW w:w="347" w:type="pct"/>
            <w:shd w:val="clear" w:color="auto" w:fill="C6D9F1" w:themeFill="text2" w:themeFillTint="33"/>
          </w:tcPr>
          <w:p w:rsidR="000C6EB8" w:rsidRPr="00AB6315"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1945</w:t>
            </w:r>
          </w:p>
        </w:tc>
        <w:tc>
          <w:tcPr>
            <w:cnfStyle w:val="000010000000" w:firstRow="0" w:lastRow="0" w:firstColumn="0" w:lastColumn="0" w:oddVBand="1" w:evenVBand="0" w:oddHBand="0" w:evenHBand="0" w:firstRowFirstColumn="0" w:firstRowLastColumn="0" w:lastRowFirstColumn="0" w:lastRowLastColumn="0"/>
            <w:tcW w:w="348" w:type="pct"/>
            <w:shd w:val="clear" w:color="auto" w:fill="C6D9F1" w:themeFill="text2" w:themeFillTint="33"/>
          </w:tcPr>
          <w:p w:rsidR="000C6EB8" w:rsidRPr="00AB6315" w:rsidRDefault="000C6EB8" w:rsidP="000C6EB8">
            <w:pPr>
              <w:spacing w:before="60" w:after="60"/>
              <w:jc w:val="center"/>
              <w:rPr>
                <w:rFonts w:ascii="Arial" w:hAnsi="Arial" w:cs="Arial"/>
                <w:sz w:val="18"/>
                <w:szCs w:val="18"/>
              </w:rPr>
            </w:pPr>
            <w:r>
              <w:rPr>
                <w:rFonts w:ascii="Arial" w:hAnsi="Arial" w:cs="Arial"/>
                <w:sz w:val="18"/>
                <w:szCs w:val="18"/>
              </w:rPr>
              <w:t>1950</w:t>
            </w:r>
          </w:p>
        </w:tc>
        <w:tc>
          <w:tcPr>
            <w:tcW w:w="348" w:type="pct"/>
            <w:shd w:val="clear" w:color="auto" w:fill="C6D9F1" w:themeFill="text2" w:themeFillTint="33"/>
          </w:tcPr>
          <w:p w:rsidR="000C6EB8" w:rsidRPr="00AB6315"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1955</w:t>
            </w:r>
          </w:p>
        </w:tc>
        <w:tc>
          <w:tcPr>
            <w:cnfStyle w:val="000010000000" w:firstRow="0" w:lastRow="0" w:firstColumn="0" w:lastColumn="0" w:oddVBand="1" w:evenVBand="0" w:oddHBand="0" w:evenHBand="0" w:firstRowFirstColumn="0" w:firstRowLastColumn="0" w:lastRowFirstColumn="0" w:lastRowLastColumn="0"/>
            <w:tcW w:w="348" w:type="pct"/>
            <w:shd w:val="clear" w:color="auto" w:fill="C6D9F1" w:themeFill="text2" w:themeFillTint="33"/>
          </w:tcPr>
          <w:p w:rsidR="000C6EB8" w:rsidRPr="00AB6315" w:rsidRDefault="000C6EB8" w:rsidP="000C6EB8">
            <w:pPr>
              <w:spacing w:before="60" w:after="60"/>
              <w:jc w:val="center"/>
              <w:rPr>
                <w:rFonts w:ascii="Arial" w:hAnsi="Arial" w:cs="Arial"/>
                <w:sz w:val="18"/>
                <w:szCs w:val="18"/>
              </w:rPr>
            </w:pPr>
            <w:r w:rsidRPr="00AB6315">
              <w:rPr>
                <w:rFonts w:ascii="Arial" w:hAnsi="Arial" w:cs="Arial"/>
                <w:sz w:val="18"/>
                <w:szCs w:val="18"/>
              </w:rPr>
              <w:t>1960</w:t>
            </w:r>
          </w:p>
        </w:tc>
        <w:tc>
          <w:tcPr>
            <w:tcW w:w="348" w:type="pct"/>
            <w:shd w:val="clear" w:color="auto" w:fill="C6D9F1" w:themeFill="text2" w:themeFillTint="33"/>
          </w:tcPr>
          <w:p w:rsidR="000C6EB8" w:rsidRPr="00AB6315"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1965</w:t>
            </w:r>
          </w:p>
        </w:tc>
        <w:tc>
          <w:tcPr>
            <w:cnfStyle w:val="000010000000" w:firstRow="0" w:lastRow="0" w:firstColumn="0" w:lastColumn="0" w:oddVBand="1" w:evenVBand="0" w:oddHBand="0" w:evenHBand="0" w:firstRowFirstColumn="0" w:firstRowLastColumn="0" w:lastRowFirstColumn="0" w:lastRowLastColumn="0"/>
            <w:tcW w:w="348" w:type="pct"/>
            <w:shd w:val="clear" w:color="auto" w:fill="C6D9F1" w:themeFill="text2" w:themeFillTint="33"/>
          </w:tcPr>
          <w:p w:rsidR="000C6EB8" w:rsidRPr="00AB6315" w:rsidRDefault="000C6EB8" w:rsidP="000C6EB8">
            <w:pPr>
              <w:spacing w:before="60" w:after="60"/>
              <w:jc w:val="center"/>
              <w:rPr>
                <w:rFonts w:ascii="Arial" w:hAnsi="Arial" w:cs="Arial"/>
                <w:sz w:val="18"/>
                <w:szCs w:val="18"/>
              </w:rPr>
            </w:pPr>
            <w:r w:rsidRPr="00AB6315">
              <w:rPr>
                <w:rFonts w:ascii="Arial" w:hAnsi="Arial" w:cs="Arial"/>
                <w:sz w:val="18"/>
                <w:szCs w:val="18"/>
              </w:rPr>
              <w:t>1970</w:t>
            </w:r>
          </w:p>
        </w:tc>
        <w:tc>
          <w:tcPr>
            <w:tcW w:w="348" w:type="pct"/>
            <w:shd w:val="clear" w:color="auto" w:fill="C6D9F1" w:themeFill="text2" w:themeFillTint="33"/>
          </w:tcPr>
          <w:p w:rsidR="000C6EB8" w:rsidRPr="00AB6315"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1975</w:t>
            </w:r>
          </w:p>
        </w:tc>
        <w:tc>
          <w:tcPr>
            <w:cnfStyle w:val="000010000000" w:firstRow="0" w:lastRow="0" w:firstColumn="0" w:lastColumn="0" w:oddVBand="1" w:evenVBand="0" w:oddHBand="0" w:evenHBand="0" w:firstRowFirstColumn="0" w:firstRowLastColumn="0" w:lastRowFirstColumn="0" w:lastRowLastColumn="0"/>
            <w:tcW w:w="348" w:type="pct"/>
            <w:shd w:val="clear" w:color="auto" w:fill="C6D9F1" w:themeFill="text2" w:themeFillTint="33"/>
          </w:tcPr>
          <w:p w:rsidR="000C6EB8" w:rsidRPr="00AB6315" w:rsidRDefault="000C6EB8" w:rsidP="000C6EB8">
            <w:pPr>
              <w:spacing w:before="60" w:after="60"/>
              <w:jc w:val="center"/>
              <w:rPr>
                <w:rFonts w:ascii="Arial" w:hAnsi="Arial" w:cs="Arial"/>
                <w:sz w:val="18"/>
                <w:szCs w:val="18"/>
              </w:rPr>
            </w:pPr>
            <w:r w:rsidRPr="00AB6315">
              <w:rPr>
                <w:rFonts w:ascii="Arial" w:hAnsi="Arial" w:cs="Arial"/>
                <w:sz w:val="18"/>
                <w:szCs w:val="18"/>
              </w:rPr>
              <w:t>1980</w:t>
            </w:r>
          </w:p>
        </w:tc>
        <w:tc>
          <w:tcPr>
            <w:tcW w:w="348" w:type="pct"/>
            <w:shd w:val="clear" w:color="auto" w:fill="C6D9F1" w:themeFill="text2" w:themeFillTint="33"/>
          </w:tcPr>
          <w:p w:rsidR="000C6EB8" w:rsidRPr="00AB6315"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1985</w:t>
            </w:r>
          </w:p>
        </w:tc>
        <w:tc>
          <w:tcPr>
            <w:cnfStyle w:val="000010000000" w:firstRow="0" w:lastRow="0" w:firstColumn="0" w:lastColumn="0" w:oddVBand="1" w:evenVBand="0" w:oddHBand="0" w:evenHBand="0" w:firstRowFirstColumn="0" w:firstRowLastColumn="0" w:lastRowFirstColumn="0" w:lastRowLastColumn="0"/>
            <w:tcW w:w="348" w:type="pct"/>
            <w:shd w:val="clear" w:color="auto" w:fill="C6D9F1" w:themeFill="text2" w:themeFillTint="33"/>
          </w:tcPr>
          <w:p w:rsidR="000C6EB8" w:rsidRPr="00AB6315" w:rsidRDefault="000C6EB8" w:rsidP="000C6EB8">
            <w:pPr>
              <w:spacing w:before="60" w:after="60"/>
              <w:jc w:val="center"/>
              <w:rPr>
                <w:rFonts w:ascii="Arial" w:hAnsi="Arial" w:cs="Arial"/>
                <w:sz w:val="18"/>
                <w:szCs w:val="18"/>
              </w:rPr>
            </w:pPr>
            <w:r w:rsidRPr="00AB6315">
              <w:rPr>
                <w:rFonts w:ascii="Arial" w:hAnsi="Arial" w:cs="Arial"/>
                <w:sz w:val="18"/>
                <w:szCs w:val="18"/>
              </w:rPr>
              <w:t>1990</w:t>
            </w:r>
          </w:p>
        </w:tc>
        <w:tc>
          <w:tcPr>
            <w:tcW w:w="348" w:type="pct"/>
            <w:shd w:val="clear" w:color="auto" w:fill="C6D9F1" w:themeFill="text2" w:themeFillTint="33"/>
          </w:tcPr>
          <w:p w:rsidR="000C6EB8" w:rsidRPr="00AB6315" w:rsidRDefault="000C6EB8" w:rsidP="000C6EB8">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342" w:type="pct"/>
            <w:shd w:val="clear" w:color="auto" w:fill="C6D9F1" w:themeFill="text2" w:themeFillTint="33"/>
          </w:tcPr>
          <w:p w:rsidR="000C6EB8" w:rsidRPr="00AB6315" w:rsidRDefault="000C6EB8" w:rsidP="000C6EB8">
            <w:pPr>
              <w:spacing w:before="60" w:after="60"/>
              <w:jc w:val="center"/>
              <w:rPr>
                <w:rFonts w:ascii="Arial" w:hAnsi="Arial" w:cs="Arial"/>
                <w:sz w:val="18"/>
                <w:szCs w:val="18"/>
              </w:rPr>
            </w:pPr>
            <w:r w:rsidRPr="00AB6315">
              <w:rPr>
                <w:rFonts w:ascii="Arial" w:hAnsi="Arial" w:cs="Arial"/>
                <w:sz w:val="18"/>
                <w:szCs w:val="18"/>
              </w:rPr>
              <w:t>20</w:t>
            </w:r>
            <w:r>
              <w:rPr>
                <w:rFonts w:ascii="Arial" w:hAnsi="Arial" w:cs="Arial"/>
                <w:sz w:val="18"/>
                <w:szCs w:val="18"/>
              </w:rPr>
              <w:t>11</w:t>
            </w:r>
          </w:p>
        </w:tc>
      </w:tr>
      <w:tr w:rsidR="000C6EB8" w:rsidRPr="00AB6315" w:rsidTr="000C6EB8">
        <w:trPr>
          <w:trHeight w:val="521"/>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общедоступных библиотек  –  всего, ед</w:t>
            </w:r>
            <w:r w:rsidRPr="00AB6315">
              <w:rPr>
                <w:rFonts w:ascii="Arial" w:hAnsi="Arial" w:cs="Arial"/>
                <w:sz w:val="18"/>
                <w:szCs w:val="18"/>
              </w:rPr>
              <w:t>и</w:t>
            </w:r>
            <w:r w:rsidRPr="00AB6315">
              <w:rPr>
                <w:rFonts w:ascii="Arial" w:hAnsi="Arial" w:cs="Arial"/>
                <w:sz w:val="18"/>
                <w:szCs w:val="18"/>
              </w:rPr>
              <w:t>ниц</w:t>
            </w:r>
          </w:p>
        </w:tc>
        <w:tc>
          <w:tcPr>
            <w:tcW w:w="347"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186</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735</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791</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765</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636</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736</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702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693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708</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705</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653</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352B75" w:rsidRDefault="000C6EB8" w:rsidP="000C6EB8">
            <w:pPr>
              <w:spacing w:before="60" w:after="20"/>
              <w:ind w:right="170"/>
              <w:jc w:val="right"/>
              <w:rPr>
                <w:rFonts w:ascii="Arial" w:hAnsi="Arial" w:cs="Arial"/>
                <w:sz w:val="18"/>
                <w:szCs w:val="18"/>
                <w:lang w:val="en-US"/>
              </w:rPr>
            </w:pPr>
            <w:r>
              <w:rPr>
                <w:rFonts w:ascii="Arial" w:hAnsi="Arial" w:cs="Arial"/>
                <w:sz w:val="18"/>
                <w:szCs w:val="18"/>
                <w:lang w:val="en-US"/>
              </w:rPr>
              <w:t>583</w:t>
            </w:r>
          </w:p>
        </w:tc>
      </w:tr>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left="284" w:right="-70"/>
              <w:rPr>
                <w:rFonts w:ascii="Arial" w:hAnsi="Arial" w:cs="Arial"/>
                <w:sz w:val="18"/>
                <w:szCs w:val="18"/>
              </w:rPr>
            </w:pPr>
            <w:r w:rsidRPr="00AB6315">
              <w:rPr>
                <w:rFonts w:ascii="Arial" w:hAnsi="Arial" w:cs="Arial"/>
                <w:sz w:val="18"/>
                <w:szCs w:val="18"/>
              </w:rPr>
              <w:t>из них в сельской местности</w:t>
            </w:r>
          </w:p>
        </w:tc>
        <w:tc>
          <w:tcPr>
            <w:tcW w:w="347"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155</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670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705</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606</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483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537</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539</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520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532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529</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503</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352B75" w:rsidRDefault="000C6EB8" w:rsidP="000C6EB8">
            <w:pPr>
              <w:spacing w:before="60" w:after="20"/>
              <w:ind w:right="170"/>
              <w:jc w:val="right"/>
              <w:rPr>
                <w:rFonts w:ascii="Arial" w:hAnsi="Arial" w:cs="Arial"/>
                <w:sz w:val="18"/>
                <w:szCs w:val="18"/>
                <w:lang w:val="en-US"/>
              </w:rPr>
            </w:pPr>
            <w:r>
              <w:rPr>
                <w:rFonts w:ascii="Arial" w:hAnsi="Arial" w:cs="Arial"/>
                <w:sz w:val="18"/>
                <w:szCs w:val="18"/>
                <w:lang w:val="en-US"/>
              </w:rPr>
              <w:t>463</w:t>
            </w:r>
          </w:p>
        </w:tc>
      </w:tr>
      <w:tr w:rsidR="000C6EB8" w:rsidRPr="00AB6315" w:rsidTr="000C6EB8">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 xml:space="preserve">Библиотечный фонд – всего, тыс. экземпляров </w:t>
            </w:r>
          </w:p>
        </w:tc>
        <w:tc>
          <w:tcPr>
            <w:tcW w:w="347"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582,7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1422,8</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3480,8</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4755,2</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6101,8</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7428,0</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8499,0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9156,7</w:t>
            </w:r>
          </w:p>
        </w:tc>
        <w:tc>
          <w:tcPr>
            <w:tcW w:w="348" w:type="pct"/>
            <w:vAlign w:val="bottom"/>
          </w:tcPr>
          <w:p w:rsidR="000C6EB8" w:rsidRPr="00AB6315" w:rsidRDefault="000C6EB8" w:rsidP="000C6EB8">
            <w:pPr>
              <w:spacing w:before="60" w:after="20"/>
              <w:ind w:left="-152"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11163,9</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left="-152" w:right="170"/>
              <w:jc w:val="right"/>
              <w:rPr>
                <w:rFonts w:ascii="Arial" w:hAnsi="Arial" w:cs="Arial"/>
                <w:sz w:val="18"/>
                <w:szCs w:val="18"/>
              </w:rPr>
            </w:pPr>
            <w:r w:rsidRPr="00AB6315">
              <w:rPr>
                <w:rFonts w:ascii="Arial" w:hAnsi="Arial" w:cs="Arial"/>
                <w:sz w:val="18"/>
                <w:szCs w:val="18"/>
              </w:rPr>
              <w:t>11670,4</w:t>
            </w:r>
          </w:p>
        </w:tc>
        <w:tc>
          <w:tcPr>
            <w:tcW w:w="348" w:type="pct"/>
            <w:vAlign w:val="bottom"/>
          </w:tcPr>
          <w:p w:rsidR="000C6EB8" w:rsidRPr="00AB6315" w:rsidRDefault="000C6EB8" w:rsidP="000C6EB8">
            <w:pPr>
              <w:spacing w:before="60" w:after="20"/>
              <w:ind w:left="-152"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10347,8</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352B75" w:rsidRDefault="000C6EB8" w:rsidP="000C6EB8">
            <w:pPr>
              <w:spacing w:before="60" w:after="20"/>
              <w:ind w:right="170"/>
              <w:jc w:val="right"/>
              <w:rPr>
                <w:rFonts w:ascii="Arial" w:hAnsi="Arial" w:cs="Arial"/>
                <w:sz w:val="18"/>
                <w:szCs w:val="18"/>
              </w:rPr>
            </w:pPr>
            <w:r>
              <w:rPr>
                <w:rFonts w:ascii="Arial" w:hAnsi="Arial" w:cs="Arial"/>
                <w:sz w:val="18"/>
                <w:szCs w:val="18"/>
                <w:lang w:val="en-US"/>
              </w:rPr>
              <w:t>9349</w:t>
            </w:r>
            <w:r>
              <w:rPr>
                <w:rFonts w:ascii="Arial" w:hAnsi="Arial" w:cs="Arial"/>
                <w:sz w:val="18"/>
                <w:szCs w:val="18"/>
              </w:rPr>
              <w:t>,4</w:t>
            </w:r>
          </w:p>
        </w:tc>
      </w:tr>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left="284" w:right="-70"/>
              <w:rPr>
                <w:rFonts w:ascii="Arial" w:hAnsi="Arial" w:cs="Arial"/>
                <w:sz w:val="18"/>
                <w:szCs w:val="18"/>
              </w:rPr>
            </w:pPr>
            <w:r w:rsidRPr="00AB6315">
              <w:rPr>
                <w:rFonts w:ascii="Arial" w:hAnsi="Arial" w:cs="Arial"/>
                <w:sz w:val="18"/>
                <w:szCs w:val="18"/>
              </w:rPr>
              <w:t>из них в сельских би</w:t>
            </w:r>
            <w:r w:rsidRPr="00AB6315">
              <w:rPr>
                <w:rFonts w:ascii="Arial" w:hAnsi="Arial" w:cs="Arial"/>
                <w:sz w:val="18"/>
                <w:szCs w:val="18"/>
              </w:rPr>
              <w:t>б</w:t>
            </w:r>
            <w:r w:rsidRPr="00AB6315">
              <w:rPr>
                <w:rFonts w:ascii="Arial" w:hAnsi="Arial" w:cs="Arial"/>
                <w:sz w:val="18"/>
                <w:szCs w:val="18"/>
              </w:rPr>
              <w:t>лиотеках</w:t>
            </w:r>
          </w:p>
        </w:tc>
        <w:tc>
          <w:tcPr>
            <w:tcW w:w="347"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202,0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695,5</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2202,2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2762,0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3291,5</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3628,0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3997,0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3896,0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4844,5</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4953,6</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4118,9</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3769,9</w:t>
            </w:r>
          </w:p>
        </w:tc>
      </w:tr>
      <w:tr w:rsidR="000C6EB8" w:rsidRPr="00AB6315" w:rsidTr="000C6EB8">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учреждений кул</w:t>
            </w:r>
            <w:r w:rsidRPr="00AB6315">
              <w:rPr>
                <w:rFonts w:ascii="Arial" w:hAnsi="Arial" w:cs="Arial"/>
                <w:sz w:val="18"/>
                <w:szCs w:val="18"/>
              </w:rPr>
              <w:t>ь</w:t>
            </w:r>
            <w:r w:rsidRPr="00AB6315">
              <w:rPr>
                <w:rFonts w:ascii="Arial" w:hAnsi="Arial" w:cs="Arial"/>
                <w:sz w:val="18"/>
                <w:szCs w:val="18"/>
              </w:rPr>
              <w:t>турно-досугового типа – всего, единиц</w:t>
            </w:r>
          </w:p>
        </w:tc>
        <w:tc>
          <w:tcPr>
            <w:tcW w:w="347"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620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760</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806</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864</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897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925</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910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897</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895</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794</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653</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563</w:t>
            </w:r>
          </w:p>
        </w:tc>
      </w:tr>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left="284" w:right="-70"/>
              <w:rPr>
                <w:rFonts w:ascii="Arial" w:hAnsi="Arial" w:cs="Arial"/>
                <w:sz w:val="18"/>
                <w:szCs w:val="18"/>
              </w:rPr>
            </w:pPr>
            <w:r w:rsidRPr="00AB6315">
              <w:rPr>
                <w:rFonts w:ascii="Arial" w:hAnsi="Arial" w:cs="Arial"/>
                <w:sz w:val="18"/>
                <w:szCs w:val="18"/>
              </w:rPr>
              <w:t>из них в сельской местности</w:t>
            </w:r>
          </w:p>
        </w:tc>
        <w:tc>
          <w:tcPr>
            <w:tcW w:w="347"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590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731</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755</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791</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822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832</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777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793</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772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691</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566</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491</w:t>
            </w:r>
          </w:p>
        </w:tc>
      </w:tr>
      <w:tr w:rsidR="000C6EB8" w:rsidRPr="00AB6315" w:rsidTr="000C6EB8">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киноустановок – всего, единиц</w:t>
            </w:r>
          </w:p>
        </w:tc>
        <w:tc>
          <w:tcPr>
            <w:tcW w:w="347"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92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314</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489</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622</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918</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909</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877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835</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853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802</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309</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70</w:t>
            </w:r>
          </w:p>
        </w:tc>
      </w:tr>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left="284" w:right="-70"/>
              <w:rPr>
                <w:rFonts w:ascii="Arial" w:hAnsi="Arial" w:cs="Arial"/>
                <w:sz w:val="18"/>
                <w:szCs w:val="18"/>
              </w:rPr>
            </w:pPr>
            <w:r w:rsidRPr="00AB6315">
              <w:rPr>
                <w:rFonts w:ascii="Arial" w:hAnsi="Arial" w:cs="Arial"/>
                <w:sz w:val="18"/>
                <w:szCs w:val="18"/>
              </w:rPr>
              <w:t>из них в сельских п</w:t>
            </w:r>
            <w:r w:rsidRPr="00AB6315">
              <w:rPr>
                <w:rFonts w:ascii="Arial" w:hAnsi="Arial" w:cs="Arial"/>
                <w:sz w:val="18"/>
                <w:szCs w:val="18"/>
              </w:rPr>
              <w:t>о</w:t>
            </w:r>
            <w:r w:rsidRPr="00AB6315">
              <w:rPr>
                <w:rFonts w:ascii="Arial" w:hAnsi="Arial" w:cs="Arial"/>
                <w:sz w:val="18"/>
                <w:szCs w:val="18"/>
              </w:rPr>
              <w:t>селениях</w:t>
            </w:r>
          </w:p>
        </w:tc>
        <w:tc>
          <w:tcPr>
            <w:tcW w:w="347"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B83A35" w:rsidRDefault="000C6EB8" w:rsidP="000C6EB8">
            <w:pPr>
              <w:spacing w:before="60" w:after="20"/>
              <w:ind w:right="170"/>
              <w:jc w:val="right"/>
              <w:rPr>
                <w:rFonts w:ascii="Arial" w:hAnsi="Arial" w:cs="Arial"/>
                <w:sz w:val="18"/>
                <w:szCs w:val="18"/>
              </w:rPr>
            </w:pPr>
            <w:r>
              <w:rPr>
                <w:rFonts w:ascii="Arial" w:hAnsi="Arial" w:cs="Arial"/>
                <w:sz w:val="18"/>
                <w:szCs w:val="18"/>
              </w:rPr>
              <w:t>…</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411</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554</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820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806</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762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712</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707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665</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276</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32</w:t>
            </w:r>
          </w:p>
        </w:tc>
      </w:tr>
      <w:tr w:rsidR="000C6EB8" w:rsidRPr="00AB6315" w:rsidTr="000C6EB8">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посещений кинос</w:t>
            </w:r>
            <w:r w:rsidRPr="00AB6315">
              <w:rPr>
                <w:rFonts w:ascii="Arial" w:hAnsi="Arial" w:cs="Arial"/>
                <w:sz w:val="18"/>
                <w:szCs w:val="18"/>
              </w:rPr>
              <w:t>е</w:t>
            </w:r>
            <w:r w:rsidRPr="00AB6315">
              <w:rPr>
                <w:rFonts w:ascii="Arial" w:hAnsi="Arial" w:cs="Arial"/>
                <w:sz w:val="18"/>
                <w:szCs w:val="18"/>
              </w:rPr>
              <w:t>ансов, тыс. человек</w:t>
            </w:r>
          </w:p>
        </w:tc>
        <w:tc>
          <w:tcPr>
            <w:tcW w:w="347"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B83A35" w:rsidRDefault="000C6EB8" w:rsidP="000C6EB8">
            <w:pPr>
              <w:spacing w:before="60" w:after="20"/>
              <w:ind w:right="170"/>
              <w:jc w:val="right"/>
              <w:rPr>
                <w:rFonts w:ascii="Arial" w:hAnsi="Arial" w:cs="Arial"/>
                <w:sz w:val="18"/>
                <w:szCs w:val="18"/>
              </w:rPr>
            </w:pPr>
            <w:r>
              <w:rPr>
                <w:rFonts w:ascii="Arial" w:hAnsi="Arial" w:cs="Arial"/>
                <w:sz w:val="18"/>
                <w:szCs w:val="18"/>
              </w:rPr>
              <w:t>…</w:t>
            </w:r>
          </w:p>
        </w:tc>
        <w:tc>
          <w:tcPr>
            <w:tcW w:w="348" w:type="pct"/>
            <w:vAlign w:val="bottom"/>
          </w:tcPr>
          <w:p w:rsidR="000C6EB8" w:rsidRPr="00AB6315" w:rsidRDefault="000C6EB8" w:rsidP="000C6EB8">
            <w:pPr>
              <w:spacing w:before="60" w:after="20"/>
              <w:ind w:left="-57"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12283,8</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left="-57" w:right="170"/>
              <w:jc w:val="right"/>
              <w:rPr>
                <w:rFonts w:ascii="Arial" w:hAnsi="Arial" w:cs="Arial"/>
                <w:sz w:val="18"/>
                <w:szCs w:val="18"/>
              </w:rPr>
            </w:pPr>
            <w:r w:rsidRPr="00AB6315">
              <w:rPr>
                <w:rFonts w:ascii="Arial" w:hAnsi="Arial" w:cs="Arial"/>
                <w:sz w:val="18"/>
                <w:szCs w:val="18"/>
              </w:rPr>
              <w:t>18518,5</w:t>
            </w:r>
          </w:p>
        </w:tc>
        <w:tc>
          <w:tcPr>
            <w:tcW w:w="348" w:type="pct"/>
            <w:vAlign w:val="bottom"/>
          </w:tcPr>
          <w:p w:rsidR="000C6EB8" w:rsidRPr="00AB6315" w:rsidRDefault="000C6EB8" w:rsidP="000C6EB8">
            <w:pPr>
              <w:spacing w:before="60" w:after="20"/>
              <w:ind w:left="-57"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22633,7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left="-57" w:right="170"/>
              <w:jc w:val="right"/>
              <w:rPr>
                <w:rFonts w:ascii="Arial" w:hAnsi="Arial" w:cs="Arial"/>
                <w:sz w:val="18"/>
                <w:szCs w:val="18"/>
              </w:rPr>
            </w:pPr>
            <w:r w:rsidRPr="00AB6315">
              <w:rPr>
                <w:rFonts w:ascii="Arial" w:hAnsi="Arial" w:cs="Arial"/>
                <w:sz w:val="18"/>
                <w:szCs w:val="18"/>
              </w:rPr>
              <w:t>24102,0</w:t>
            </w:r>
          </w:p>
        </w:tc>
        <w:tc>
          <w:tcPr>
            <w:tcW w:w="348" w:type="pct"/>
            <w:vAlign w:val="bottom"/>
          </w:tcPr>
          <w:p w:rsidR="000C6EB8" w:rsidRPr="00AB6315" w:rsidRDefault="000C6EB8" w:rsidP="000C6EB8">
            <w:pPr>
              <w:spacing w:before="60" w:after="20"/>
              <w:ind w:left="-57"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20776,0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left="-57" w:right="170"/>
              <w:jc w:val="right"/>
              <w:rPr>
                <w:rFonts w:ascii="Arial" w:hAnsi="Arial" w:cs="Arial"/>
                <w:sz w:val="18"/>
                <w:szCs w:val="18"/>
              </w:rPr>
            </w:pPr>
            <w:r w:rsidRPr="00AB6315">
              <w:rPr>
                <w:rFonts w:ascii="Arial" w:hAnsi="Arial" w:cs="Arial"/>
                <w:sz w:val="18"/>
                <w:szCs w:val="18"/>
              </w:rPr>
              <w:t>19330,0</w:t>
            </w:r>
          </w:p>
        </w:tc>
        <w:tc>
          <w:tcPr>
            <w:tcW w:w="348" w:type="pct"/>
            <w:vAlign w:val="bottom"/>
          </w:tcPr>
          <w:p w:rsidR="000C6EB8" w:rsidRPr="00AB6315" w:rsidRDefault="000C6EB8" w:rsidP="000C6EB8">
            <w:pPr>
              <w:spacing w:before="60" w:after="20"/>
              <w:ind w:left="-57"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18295,0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left="-57" w:right="170"/>
              <w:jc w:val="right"/>
              <w:rPr>
                <w:rFonts w:ascii="Arial" w:hAnsi="Arial" w:cs="Arial"/>
                <w:sz w:val="18"/>
                <w:szCs w:val="18"/>
              </w:rPr>
            </w:pPr>
            <w:r w:rsidRPr="00AB6315">
              <w:rPr>
                <w:rFonts w:ascii="Arial" w:hAnsi="Arial" w:cs="Arial"/>
                <w:sz w:val="18"/>
                <w:szCs w:val="18"/>
              </w:rPr>
              <w:t>11905,0</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223,0</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767,2</w:t>
            </w:r>
          </w:p>
        </w:tc>
      </w:tr>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left="284" w:right="-70"/>
              <w:rPr>
                <w:rFonts w:ascii="Arial" w:hAnsi="Arial" w:cs="Arial"/>
                <w:sz w:val="18"/>
                <w:szCs w:val="18"/>
              </w:rPr>
            </w:pPr>
            <w:r w:rsidRPr="00AB6315">
              <w:rPr>
                <w:rFonts w:ascii="Arial" w:hAnsi="Arial" w:cs="Arial"/>
                <w:sz w:val="18"/>
                <w:szCs w:val="18"/>
              </w:rPr>
              <w:t>из них в сельских п</w:t>
            </w:r>
            <w:r w:rsidRPr="00AB6315">
              <w:rPr>
                <w:rFonts w:ascii="Arial" w:hAnsi="Arial" w:cs="Arial"/>
                <w:sz w:val="18"/>
                <w:szCs w:val="18"/>
              </w:rPr>
              <w:t>о</w:t>
            </w:r>
            <w:r w:rsidRPr="00AB6315">
              <w:rPr>
                <w:rFonts w:ascii="Arial" w:hAnsi="Arial" w:cs="Arial"/>
                <w:sz w:val="18"/>
                <w:szCs w:val="18"/>
              </w:rPr>
              <w:t>селениях</w:t>
            </w:r>
          </w:p>
        </w:tc>
        <w:tc>
          <w:tcPr>
            <w:tcW w:w="347"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0D3E2E" w:rsidRDefault="000C6EB8" w:rsidP="000C6EB8">
            <w:pPr>
              <w:spacing w:before="60" w:after="20"/>
              <w:ind w:right="170"/>
              <w:jc w:val="right"/>
              <w:rPr>
                <w:rFonts w:ascii="Arial" w:hAnsi="Arial" w:cs="Arial"/>
                <w:sz w:val="18"/>
                <w:szCs w:val="18"/>
              </w:rPr>
            </w:pPr>
            <w:r>
              <w:rPr>
                <w:rFonts w:ascii="Arial" w:hAnsi="Arial" w:cs="Arial"/>
                <w:sz w:val="18"/>
                <w:szCs w:val="18"/>
              </w:rPr>
              <w:t>…</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6991,0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9618,6</w:t>
            </w:r>
          </w:p>
        </w:tc>
        <w:tc>
          <w:tcPr>
            <w:tcW w:w="348" w:type="pct"/>
            <w:vAlign w:val="bottom"/>
          </w:tcPr>
          <w:p w:rsidR="000C6EB8" w:rsidRPr="00AB6315" w:rsidRDefault="000C6EB8" w:rsidP="000C6EB8">
            <w:pPr>
              <w:spacing w:before="60" w:after="20"/>
              <w:ind w:left="-96"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13151,6</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left="-96" w:right="170"/>
              <w:jc w:val="right"/>
              <w:rPr>
                <w:rFonts w:ascii="Arial" w:hAnsi="Arial" w:cs="Arial"/>
                <w:sz w:val="18"/>
                <w:szCs w:val="18"/>
              </w:rPr>
            </w:pPr>
            <w:r w:rsidRPr="00AB6315">
              <w:rPr>
                <w:rFonts w:ascii="Arial" w:hAnsi="Arial" w:cs="Arial"/>
                <w:sz w:val="18"/>
                <w:szCs w:val="18"/>
              </w:rPr>
              <w:t>11939,0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9301,0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7440,0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6584,0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4252,0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84,8</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22,0</w:t>
            </w:r>
          </w:p>
        </w:tc>
      </w:tr>
      <w:tr w:rsidR="000C6EB8" w:rsidRPr="00AB6315" w:rsidTr="000C6EB8">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театров, единиц</w:t>
            </w:r>
          </w:p>
        </w:tc>
        <w:tc>
          <w:tcPr>
            <w:tcW w:w="347"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4</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4</w:t>
            </w:r>
          </w:p>
        </w:tc>
      </w:tr>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посещений театров, тыс. человек</w:t>
            </w:r>
          </w:p>
        </w:tc>
        <w:tc>
          <w:tcPr>
            <w:tcW w:w="347"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254,6</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288,0</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335,9</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418,9</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359,6</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385,3</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403,0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454,9</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504,3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339,2</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201,9</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208,4</w:t>
            </w:r>
          </w:p>
        </w:tc>
      </w:tr>
      <w:tr w:rsidR="000C6EB8" w:rsidRPr="00AB6315" w:rsidTr="000C6EB8">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музеев, единиц</w:t>
            </w:r>
          </w:p>
        </w:tc>
        <w:tc>
          <w:tcPr>
            <w:tcW w:w="347"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3</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8</w:t>
            </w:r>
          </w:p>
        </w:tc>
        <w:tc>
          <w:tcPr>
            <w:tcW w:w="348" w:type="pct"/>
            <w:vAlign w:val="bottom"/>
          </w:tcPr>
          <w:p w:rsidR="000C6EB8" w:rsidRPr="00AB6315" w:rsidRDefault="000C6EB8" w:rsidP="000C6EB8">
            <w:pPr>
              <w:spacing w:before="60" w:after="20"/>
              <w:ind w:right="170"/>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B6315">
              <w:rPr>
                <w:rFonts w:ascii="Arial" w:hAnsi="Arial" w:cs="Arial"/>
                <w:sz w:val="18"/>
                <w:szCs w:val="18"/>
              </w:rPr>
              <w:t>10</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19</w:t>
            </w:r>
          </w:p>
        </w:tc>
      </w:tr>
      <w:tr w:rsidR="000C6EB8" w:rsidRPr="00AB6315" w:rsidTr="000C6EB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31" w:type="pct"/>
          </w:tcPr>
          <w:p w:rsidR="000C6EB8" w:rsidRPr="00AB6315" w:rsidRDefault="000C6EB8" w:rsidP="000C6EB8">
            <w:pPr>
              <w:spacing w:before="60" w:after="20"/>
              <w:ind w:right="-70"/>
              <w:rPr>
                <w:rFonts w:ascii="Arial" w:hAnsi="Arial" w:cs="Arial"/>
                <w:sz w:val="18"/>
                <w:szCs w:val="18"/>
              </w:rPr>
            </w:pPr>
            <w:r w:rsidRPr="00AB6315">
              <w:rPr>
                <w:rFonts w:ascii="Arial" w:hAnsi="Arial" w:cs="Arial"/>
                <w:sz w:val="18"/>
                <w:szCs w:val="18"/>
              </w:rPr>
              <w:t>Число посещений музеев, тыс. человек</w:t>
            </w:r>
          </w:p>
        </w:tc>
        <w:tc>
          <w:tcPr>
            <w:tcW w:w="347"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133,7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207,5</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207,5</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435,7</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622,7</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1642,4</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2010,2</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1937,4</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1879,0</w:t>
            </w:r>
          </w:p>
        </w:tc>
        <w:tc>
          <w:tcPr>
            <w:cnfStyle w:val="000010000000" w:firstRow="0" w:lastRow="0" w:firstColumn="0" w:lastColumn="0" w:oddVBand="1" w:evenVBand="0" w:oddHBand="0" w:evenHBand="0" w:firstRowFirstColumn="0" w:firstRowLastColumn="0" w:lastRowFirstColumn="0" w:lastRowLastColumn="0"/>
            <w:tcW w:w="348" w:type="pct"/>
            <w:vAlign w:val="bottom"/>
          </w:tcPr>
          <w:p w:rsidR="000C6EB8" w:rsidRPr="00AB6315" w:rsidRDefault="000C6EB8" w:rsidP="000C6EB8">
            <w:pPr>
              <w:spacing w:before="60" w:after="20"/>
              <w:ind w:right="170"/>
              <w:jc w:val="right"/>
              <w:rPr>
                <w:rFonts w:ascii="Arial" w:hAnsi="Arial" w:cs="Arial"/>
                <w:sz w:val="18"/>
                <w:szCs w:val="18"/>
              </w:rPr>
            </w:pPr>
            <w:r w:rsidRPr="00AB6315">
              <w:rPr>
                <w:rFonts w:ascii="Arial" w:hAnsi="Arial" w:cs="Arial"/>
                <w:sz w:val="18"/>
                <w:szCs w:val="18"/>
              </w:rPr>
              <w:t>1112,8</w:t>
            </w:r>
          </w:p>
        </w:tc>
        <w:tc>
          <w:tcPr>
            <w:tcW w:w="348" w:type="pct"/>
            <w:vAlign w:val="bottom"/>
          </w:tcPr>
          <w:p w:rsidR="000C6EB8" w:rsidRPr="00AB6315" w:rsidRDefault="000C6EB8" w:rsidP="000C6EB8">
            <w:pPr>
              <w:spacing w:before="60" w:after="20"/>
              <w:ind w:right="170"/>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B6315">
              <w:rPr>
                <w:rFonts w:ascii="Arial" w:hAnsi="Arial" w:cs="Arial"/>
                <w:sz w:val="18"/>
                <w:szCs w:val="18"/>
              </w:rPr>
              <w:t>621,1</w:t>
            </w:r>
          </w:p>
        </w:tc>
        <w:tc>
          <w:tcPr>
            <w:cnfStyle w:val="000010000000" w:firstRow="0" w:lastRow="0" w:firstColumn="0" w:lastColumn="0" w:oddVBand="1" w:evenVBand="0" w:oddHBand="0" w:evenHBand="0" w:firstRowFirstColumn="0" w:firstRowLastColumn="0" w:lastRowFirstColumn="0" w:lastRowLastColumn="0"/>
            <w:tcW w:w="342" w:type="pct"/>
            <w:vAlign w:val="bottom"/>
          </w:tcPr>
          <w:p w:rsidR="000C6EB8" w:rsidRPr="00AB6315" w:rsidRDefault="000C6EB8" w:rsidP="000C6EB8">
            <w:pPr>
              <w:spacing w:before="60" w:after="20"/>
              <w:ind w:right="170"/>
              <w:jc w:val="right"/>
              <w:rPr>
                <w:rFonts w:ascii="Arial" w:hAnsi="Arial" w:cs="Arial"/>
                <w:sz w:val="18"/>
                <w:szCs w:val="18"/>
              </w:rPr>
            </w:pPr>
            <w:r>
              <w:rPr>
                <w:rFonts w:ascii="Arial" w:hAnsi="Arial" w:cs="Arial"/>
                <w:sz w:val="18"/>
                <w:szCs w:val="18"/>
              </w:rPr>
              <w:t>707,2</w:t>
            </w:r>
          </w:p>
        </w:tc>
      </w:tr>
    </w:tbl>
    <w:p w:rsidR="000C6EB8" w:rsidRDefault="000C6EB8" w:rsidP="000C6EB8">
      <w:pPr>
        <w:rPr>
          <w:rFonts w:ascii="Arial" w:hAnsi="Arial" w:cs="Arial"/>
          <w:sz w:val="22"/>
        </w:rPr>
      </w:pPr>
    </w:p>
    <w:p w:rsidR="000C6EB8" w:rsidRDefault="000C6EB8" w:rsidP="000C6EB8">
      <w:pPr>
        <w:pStyle w:val="21"/>
        <w:spacing w:line="240" w:lineRule="auto"/>
        <w:ind w:firstLine="709"/>
        <w:jc w:val="both"/>
        <w:rPr>
          <w:rFonts w:cs="Arial"/>
          <w:sz w:val="22"/>
        </w:rPr>
      </w:pPr>
      <w:r>
        <w:rPr>
          <w:rFonts w:cs="Arial"/>
          <w:sz w:val="22"/>
        </w:rPr>
        <w:lastRenderedPageBreak/>
        <w:t xml:space="preserve">В первые годы Советской </w:t>
      </w:r>
      <w:proofErr w:type="gramStart"/>
      <w:r>
        <w:rPr>
          <w:rFonts w:cs="Arial"/>
          <w:sz w:val="22"/>
        </w:rPr>
        <w:t>власти</w:t>
      </w:r>
      <w:proofErr w:type="gramEnd"/>
      <w:r>
        <w:rPr>
          <w:rFonts w:cs="Arial"/>
          <w:sz w:val="22"/>
        </w:rPr>
        <w:t xml:space="preserve"> создававшиеся учреждения культуры являлись очагами культурно-просветительной работы населения губернии. В 1927 году в Симбирской губернии имелось 193 клубных учреждения, в 1940 году  их насчитывалось уже 836. </w:t>
      </w:r>
    </w:p>
    <w:p w:rsidR="000C6EB8" w:rsidRDefault="000C6EB8" w:rsidP="000C6EB8">
      <w:pPr>
        <w:pStyle w:val="21"/>
        <w:spacing w:line="240" w:lineRule="auto"/>
        <w:ind w:firstLine="709"/>
        <w:jc w:val="both"/>
        <w:rPr>
          <w:rFonts w:cs="Arial"/>
          <w:sz w:val="22"/>
        </w:rPr>
      </w:pPr>
      <w:r>
        <w:rPr>
          <w:rFonts w:cs="Arial"/>
          <w:sz w:val="22"/>
        </w:rPr>
        <w:t>Сеть клубных учреждений в 1945 году насчитывала 620 единиц. Их число ежегодно увеличивалось и к началу 70-х годов состав</w:t>
      </w:r>
      <w:r>
        <w:rPr>
          <w:rFonts w:cs="Arial"/>
          <w:sz w:val="22"/>
        </w:rPr>
        <w:t>и</w:t>
      </w:r>
      <w:r>
        <w:rPr>
          <w:rFonts w:cs="Arial"/>
          <w:sz w:val="22"/>
        </w:rPr>
        <w:t xml:space="preserve">ло 925 единиц, в сельской местности - 832 (89,9%).  </w:t>
      </w:r>
      <w:proofErr w:type="gramStart"/>
      <w:r>
        <w:rPr>
          <w:rFonts w:cs="Arial"/>
          <w:sz w:val="22"/>
        </w:rPr>
        <w:t>Начиная с 80-х годов происходит снижение общего</w:t>
      </w:r>
      <w:proofErr w:type="gramEnd"/>
      <w:r>
        <w:rPr>
          <w:rFonts w:cs="Arial"/>
          <w:sz w:val="22"/>
        </w:rPr>
        <w:t xml:space="preserve"> числа клубных учреждений.</w:t>
      </w:r>
    </w:p>
    <w:p w:rsidR="000C6EB8" w:rsidRDefault="000C6EB8" w:rsidP="000C6EB8">
      <w:pPr>
        <w:pStyle w:val="21"/>
        <w:spacing w:line="240" w:lineRule="auto"/>
        <w:ind w:firstLine="709"/>
        <w:jc w:val="both"/>
        <w:rPr>
          <w:rFonts w:cs="Arial"/>
          <w:sz w:val="22"/>
        </w:rPr>
      </w:pPr>
      <w:r>
        <w:rPr>
          <w:rFonts w:cs="Arial"/>
          <w:sz w:val="22"/>
        </w:rPr>
        <w:t xml:space="preserve">Процесс приватизации и перепрофилирования дворцов и домов культуры, принадлежащих ранее профсоюзам, предприятиям и организациям, привел к сокращению сети учреждений культурно-досугового типа. В 2011 году число этих учреждений сократилось  по сравнению с 1990 годом на 29,1% и составило 563 учреждения на 115,1 тыс. мест.  </w:t>
      </w:r>
    </w:p>
    <w:p w:rsidR="000C6EB8" w:rsidRDefault="000C6EB8" w:rsidP="000C6EB8">
      <w:pPr>
        <w:pStyle w:val="21"/>
        <w:spacing w:line="240" w:lineRule="auto"/>
        <w:ind w:firstLine="709"/>
        <w:jc w:val="both"/>
        <w:rPr>
          <w:rFonts w:cs="Arial"/>
          <w:sz w:val="22"/>
        </w:rPr>
      </w:pPr>
      <w:r>
        <w:rPr>
          <w:rFonts w:cs="Arial"/>
          <w:sz w:val="22"/>
        </w:rPr>
        <w:t>Из-за сокращения клубных учреждений уменьшается и численность клубных работников. Численность работающих во всех клу</w:t>
      </w:r>
      <w:r>
        <w:rPr>
          <w:rFonts w:cs="Arial"/>
          <w:sz w:val="22"/>
        </w:rPr>
        <w:t>б</w:t>
      </w:r>
      <w:r>
        <w:rPr>
          <w:rFonts w:cs="Arial"/>
          <w:sz w:val="22"/>
        </w:rPr>
        <w:t>ных учреждениях в 1990 году составила 3537 человек, а в 2011 году – 3167 человек.</w:t>
      </w:r>
    </w:p>
    <w:p w:rsidR="000C6EB8" w:rsidRDefault="000C6EB8" w:rsidP="000C6EB8">
      <w:pPr>
        <w:pStyle w:val="21"/>
        <w:spacing w:line="240" w:lineRule="auto"/>
        <w:ind w:firstLine="709"/>
        <w:jc w:val="both"/>
        <w:rPr>
          <w:rFonts w:cs="Arial"/>
          <w:sz w:val="22"/>
        </w:rPr>
      </w:pPr>
      <w:r>
        <w:rPr>
          <w:rFonts w:cs="Arial"/>
          <w:sz w:val="22"/>
        </w:rPr>
        <w:t>Уровень работы библиотек во многом зависит от качественного состава библиотечных работников и от их квалификации. На 1 я</w:t>
      </w:r>
      <w:r>
        <w:rPr>
          <w:rFonts w:cs="Arial"/>
          <w:sz w:val="22"/>
        </w:rPr>
        <w:t>н</w:t>
      </w:r>
      <w:r>
        <w:rPr>
          <w:rFonts w:cs="Arial"/>
          <w:sz w:val="22"/>
        </w:rPr>
        <w:t>варя 1991 года их численность составила 1518 человек, из них 774 человека (51%) имели специальное образование.</w:t>
      </w:r>
    </w:p>
    <w:p w:rsidR="000C6EB8" w:rsidRDefault="000C6EB8" w:rsidP="000C6EB8">
      <w:pPr>
        <w:pStyle w:val="21"/>
        <w:spacing w:line="240" w:lineRule="auto"/>
        <w:ind w:firstLine="709"/>
        <w:jc w:val="both"/>
        <w:rPr>
          <w:rFonts w:cs="Arial"/>
          <w:sz w:val="22"/>
        </w:rPr>
      </w:pPr>
      <w:r>
        <w:rPr>
          <w:rFonts w:cs="Arial"/>
          <w:sz w:val="22"/>
        </w:rPr>
        <w:t>К началу 2012 года в области действовали 583 общедоступные библиотеки, библиотечный фонд которых составил более 9,3 ми</w:t>
      </w:r>
      <w:r>
        <w:rPr>
          <w:rFonts w:cs="Arial"/>
          <w:sz w:val="22"/>
        </w:rPr>
        <w:t>л</w:t>
      </w:r>
      <w:r>
        <w:rPr>
          <w:rFonts w:cs="Arial"/>
          <w:sz w:val="22"/>
        </w:rPr>
        <w:t xml:space="preserve">лионов экземпляров различных изданий. В 2011 году в библиотеках зарегистрировано 525,6 тыс. пользователей. По сравнению с 1990 годом число пользователей общедоступных библиотек сократилось более чем на 148,2 тыс. человек (22%). </w:t>
      </w:r>
    </w:p>
    <w:p w:rsidR="000C6EB8" w:rsidRDefault="000C6EB8" w:rsidP="000C6EB8">
      <w:pPr>
        <w:pStyle w:val="21"/>
        <w:spacing w:line="240" w:lineRule="auto"/>
        <w:ind w:firstLine="709"/>
        <w:jc w:val="both"/>
        <w:rPr>
          <w:rFonts w:cs="Arial"/>
          <w:sz w:val="22"/>
        </w:rPr>
      </w:pPr>
      <w:r>
        <w:rPr>
          <w:rFonts w:cs="Arial"/>
          <w:sz w:val="22"/>
        </w:rPr>
        <w:t>В 2000-е годы  в связи со снижением темпов экономического развития в стране вынуждены были закрываться киноустановки, п</w:t>
      </w:r>
      <w:r>
        <w:rPr>
          <w:rFonts w:cs="Arial"/>
          <w:sz w:val="22"/>
        </w:rPr>
        <w:t>о</w:t>
      </w:r>
      <w:r>
        <w:rPr>
          <w:rFonts w:cs="Arial"/>
          <w:sz w:val="22"/>
        </w:rPr>
        <w:t>этому посещения киносеансов по сравнению с 1960 годом уменьшились в 83 раза. В 2011 году было проведено 24,4 тыс. киносеансов, которые посетили 767,2 тыс. зрителей. Если в 1990 году на одного жителя приходилось в среднем 8,4 посещения кино, то в 2011 году – 0,6. Несмотря на это, посещаемость кино за последние десять лет увеличилась в 3,4 раза.</w:t>
      </w:r>
    </w:p>
    <w:p w:rsidR="000C6EB8" w:rsidRDefault="000C6EB8" w:rsidP="000C6EB8">
      <w:pPr>
        <w:pStyle w:val="21"/>
        <w:spacing w:line="240" w:lineRule="auto"/>
        <w:ind w:firstLine="709"/>
        <w:jc w:val="both"/>
        <w:rPr>
          <w:rFonts w:cs="Arial"/>
          <w:sz w:val="22"/>
        </w:rPr>
      </w:pPr>
      <w:proofErr w:type="gramStart"/>
      <w:r w:rsidRPr="000D3E2E">
        <w:rPr>
          <w:rFonts w:cs="Arial"/>
          <w:sz w:val="22"/>
        </w:rPr>
        <w:t xml:space="preserve">В Ульяновской области имеются четыре театра, среди которых наиболее посещаемые Ульяновский областной и </w:t>
      </w:r>
      <w:proofErr w:type="spellStart"/>
      <w:r w:rsidRPr="000D3E2E">
        <w:rPr>
          <w:rFonts w:cs="Arial"/>
          <w:sz w:val="22"/>
        </w:rPr>
        <w:t>Димитровгра</w:t>
      </w:r>
      <w:r w:rsidRPr="000D3E2E">
        <w:rPr>
          <w:rFonts w:cs="Arial"/>
          <w:sz w:val="22"/>
        </w:rPr>
        <w:t>д</w:t>
      </w:r>
      <w:r w:rsidRPr="000D3E2E">
        <w:rPr>
          <w:rFonts w:cs="Arial"/>
          <w:sz w:val="22"/>
        </w:rPr>
        <w:t>ск</w:t>
      </w:r>
      <w:r>
        <w:rPr>
          <w:rFonts w:cs="Arial"/>
          <w:sz w:val="22"/>
        </w:rPr>
        <w:t>ий</w:t>
      </w:r>
      <w:proofErr w:type="spellEnd"/>
      <w:r>
        <w:rPr>
          <w:rFonts w:cs="Arial"/>
          <w:sz w:val="22"/>
        </w:rPr>
        <w:t xml:space="preserve"> драматические театры.</w:t>
      </w:r>
      <w:proofErr w:type="gramEnd"/>
      <w:r>
        <w:rPr>
          <w:rFonts w:cs="Arial"/>
          <w:sz w:val="22"/>
        </w:rPr>
        <w:t xml:space="preserve"> За 2011 год в них проведено 1040</w:t>
      </w:r>
      <w:r w:rsidRPr="000D3E2E">
        <w:rPr>
          <w:rFonts w:cs="Arial"/>
          <w:sz w:val="22"/>
        </w:rPr>
        <w:t xml:space="preserve"> мероприятий. Посещаемость театров до 80-х годов постоянно увеличив</w:t>
      </w:r>
      <w:r w:rsidRPr="000D3E2E">
        <w:rPr>
          <w:rFonts w:cs="Arial"/>
          <w:sz w:val="22"/>
        </w:rPr>
        <w:t>а</w:t>
      </w:r>
      <w:r w:rsidRPr="000D3E2E">
        <w:rPr>
          <w:rFonts w:cs="Arial"/>
          <w:sz w:val="22"/>
        </w:rPr>
        <w:t>лась (в 108 раз по сравнению  с послевоенным периодом). Начиная с 90-х годов, начался спад числа посещений теат</w:t>
      </w:r>
      <w:r>
        <w:rPr>
          <w:rFonts w:cs="Arial"/>
          <w:sz w:val="22"/>
        </w:rPr>
        <w:t>ров, и за последние восемнадцать  лет снижение составило 52,3</w:t>
      </w:r>
      <w:r w:rsidRPr="000D3E2E">
        <w:rPr>
          <w:rFonts w:cs="Arial"/>
          <w:sz w:val="22"/>
        </w:rPr>
        <w:t xml:space="preserve"> процента.     </w:t>
      </w:r>
    </w:p>
    <w:p w:rsidR="000C6EB8" w:rsidRPr="00B34036" w:rsidRDefault="000C6EB8" w:rsidP="000C6EB8">
      <w:pPr>
        <w:pStyle w:val="8"/>
        <w:ind w:firstLine="709"/>
        <w:jc w:val="both"/>
        <w:rPr>
          <w:b w:val="0"/>
          <w:bCs w:val="0"/>
          <w:sz w:val="22"/>
        </w:rPr>
      </w:pPr>
      <w:r w:rsidRPr="00B34036">
        <w:rPr>
          <w:b w:val="0"/>
          <w:bCs w:val="0"/>
          <w:sz w:val="22"/>
        </w:rPr>
        <w:t>В 201</w:t>
      </w:r>
      <w:r>
        <w:rPr>
          <w:b w:val="0"/>
          <w:bCs w:val="0"/>
          <w:sz w:val="22"/>
        </w:rPr>
        <w:t>1 году число</w:t>
      </w:r>
      <w:r w:rsidRPr="00B34036">
        <w:rPr>
          <w:b w:val="0"/>
          <w:bCs w:val="0"/>
          <w:sz w:val="22"/>
        </w:rPr>
        <w:t xml:space="preserve"> посещений театров по сравнению с 2008 годом </w:t>
      </w:r>
      <w:r>
        <w:rPr>
          <w:b w:val="0"/>
          <w:bCs w:val="0"/>
          <w:sz w:val="22"/>
        </w:rPr>
        <w:t xml:space="preserve">увеличилось на </w:t>
      </w:r>
      <w:r w:rsidRPr="00B34036">
        <w:rPr>
          <w:b w:val="0"/>
          <w:bCs w:val="0"/>
          <w:sz w:val="22"/>
        </w:rPr>
        <w:t>2</w:t>
      </w:r>
      <w:r>
        <w:rPr>
          <w:b w:val="0"/>
          <w:bCs w:val="0"/>
          <w:sz w:val="22"/>
        </w:rPr>
        <w:t>8,7</w:t>
      </w:r>
      <w:r w:rsidRPr="00B34036">
        <w:rPr>
          <w:b w:val="0"/>
          <w:bCs w:val="0"/>
          <w:sz w:val="22"/>
        </w:rPr>
        <w:t xml:space="preserve">%.    </w:t>
      </w:r>
    </w:p>
    <w:p w:rsidR="00AB6315" w:rsidRDefault="00AB6315">
      <w:pPr>
        <w:pStyle w:val="1"/>
      </w:pPr>
    </w:p>
    <w:p w:rsidR="00436049" w:rsidRDefault="00436049">
      <w:pPr>
        <w:rPr>
          <w:rFonts w:ascii="Arial" w:hAnsi="Arial"/>
          <w:b/>
          <w:i/>
          <w:caps/>
          <w:kern w:val="28"/>
          <w:sz w:val="24"/>
        </w:rPr>
      </w:pPr>
      <w:r>
        <w:br w:type="page"/>
      </w:r>
    </w:p>
    <w:p w:rsidR="000C6EB8" w:rsidRPr="00B37742" w:rsidRDefault="000C6EB8" w:rsidP="000C6EB8">
      <w:pPr>
        <w:pStyle w:val="1"/>
        <w:rPr>
          <w:color w:val="548DD4" w:themeColor="text2" w:themeTint="99"/>
        </w:rPr>
      </w:pPr>
      <w:bookmarkStart w:id="22" w:name="_Toc309826891"/>
      <w:r w:rsidRPr="00B37742">
        <w:rPr>
          <w:color w:val="548DD4" w:themeColor="text2" w:themeTint="99"/>
        </w:rPr>
        <w:lastRenderedPageBreak/>
        <w:t>ВАЛОВОЙ РЕГИОНАЛЬНЫЙ ПРОДУКТ</w:t>
      </w:r>
      <w:bookmarkEnd w:id="22"/>
    </w:p>
    <w:p w:rsidR="000C6EB8" w:rsidRDefault="000C6EB8" w:rsidP="000C6EB8">
      <w:pPr>
        <w:pStyle w:val="21"/>
        <w:spacing w:before="120" w:line="288" w:lineRule="auto"/>
        <w:jc w:val="both"/>
        <w:rPr>
          <w:rFonts w:cs="Arial"/>
          <w:sz w:val="22"/>
        </w:rPr>
      </w:pPr>
      <w:r>
        <w:rPr>
          <w:rFonts w:cs="Arial"/>
          <w:noProof/>
          <w:sz w:val="22"/>
        </w:rPr>
        <w:drawing>
          <wp:anchor distT="0" distB="0" distL="114300" distR="114300" simplePos="0" relativeHeight="251755520" behindDoc="0" locked="0" layoutInCell="1" allowOverlap="1">
            <wp:simplePos x="0" y="0"/>
            <wp:positionH relativeFrom="column">
              <wp:posOffset>-27940</wp:posOffset>
            </wp:positionH>
            <wp:positionV relativeFrom="paragraph">
              <wp:posOffset>234315</wp:posOffset>
            </wp:positionV>
            <wp:extent cx="1773555" cy="1757045"/>
            <wp:effectExtent l="19050" t="0" r="0" b="0"/>
            <wp:wrapSquare wrapText="bothSides"/>
            <wp:docPr id="70" name="Рисунок 61" descr="вр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рп2.jpg"/>
                    <pic:cNvPicPr/>
                  </pic:nvPicPr>
                  <pic:blipFill>
                    <a:blip r:embed="rId36" cstate="print"/>
                    <a:stretch>
                      <a:fillRect/>
                    </a:stretch>
                  </pic:blipFill>
                  <pic:spPr>
                    <a:xfrm>
                      <a:off x="0" y="0"/>
                      <a:ext cx="1773555" cy="1757045"/>
                    </a:xfrm>
                    <a:prstGeom prst="rect">
                      <a:avLst/>
                    </a:prstGeom>
                    <a:ln>
                      <a:noFill/>
                    </a:ln>
                    <a:effectLst>
                      <a:softEdge rad="112500"/>
                    </a:effectLst>
                  </pic:spPr>
                </pic:pic>
              </a:graphicData>
            </a:graphic>
          </wp:anchor>
        </w:drawing>
      </w:r>
    </w:p>
    <w:p w:rsidR="000C6EB8" w:rsidRDefault="000C6EB8" w:rsidP="000C6EB8">
      <w:pPr>
        <w:pStyle w:val="21"/>
        <w:spacing w:before="120" w:line="288" w:lineRule="auto"/>
        <w:jc w:val="both"/>
        <w:rPr>
          <w:rFonts w:cs="Arial"/>
          <w:sz w:val="22"/>
        </w:rPr>
      </w:pPr>
      <w:r>
        <w:rPr>
          <w:rFonts w:cs="Arial"/>
          <w:sz w:val="22"/>
        </w:rPr>
        <w:t>Валовой региональный продукт (ВРП) – обобщающий показатель экономической деятельности региона. Представляет собой на стадии производства сумму добавленной стоимости всех видов экономической де</w:t>
      </w:r>
      <w:r>
        <w:rPr>
          <w:rFonts w:cs="Arial"/>
          <w:sz w:val="22"/>
        </w:rPr>
        <w:t>я</w:t>
      </w:r>
      <w:r>
        <w:rPr>
          <w:rFonts w:cs="Arial"/>
          <w:sz w:val="22"/>
        </w:rPr>
        <w:t>тельности, а на стадии использования – стоимость товаров и услуг, предназначенных для конечного потре</w:t>
      </w:r>
      <w:r>
        <w:rPr>
          <w:rFonts w:cs="Arial"/>
          <w:sz w:val="22"/>
        </w:rPr>
        <w:t>б</w:t>
      </w:r>
      <w:r>
        <w:rPr>
          <w:rFonts w:cs="Arial"/>
          <w:sz w:val="22"/>
        </w:rPr>
        <w:t xml:space="preserve">ления, накопления и экспорта.  </w:t>
      </w:r>
    </w:p>
    <w:p w:rsidR="000C6EB8" w:rsidRDefault="000C6EB8" w:rsidP="000C6EB8">
      <w:pPr>
        <w:pStyle w:val="21"/>
        <w:spacing w:line="288" w:lineRule="auto"/>
        <w:jc w:val="both"/>
        <w:rPr>
          <w:rFonts w:cs="Arial"/>
          <w:sz w:val="22"/>
        </w:rPr>
      </w:pPr>
      <w:r>
        <w:rPr>
          <w:rFonts w:cs="Arial"/>
          <w:sz w:val="22"/>
        </w:rPr>
        <w:t>Основным фактором, обеспечивающим положительную динамику валового регионального продукта области в текущих ценах, является постоянный рост цен, а за последние годы – и рост физического объема.</w:t>
      </w:r>
    </w:p>
    <w:p w:rsidR="000C6EB8" w:rsidRDefault="000C6EB8" w:rsidP="000C6EB8">
      <w:pPr>
        <w:pStyle w:val="21"/>
        <w:spacing w:line="288" w:lineRule="auto"/>
        <w:jc w:val="both"/>
        <w:rPr>
          <w:rFonts w:cs="Arial"/>
          <w:sz w:val="22"/>
        </w:rPr>
      </w:pPr>
      <w:r>
        <w:rPr>
          <w:rFonts w:cs="Arial"/>
          <w:sz w:val="22"/>
        </w:rPr>
        <w:t>Объем ВРП области в 2010 году достиг 174,7 млрд. рублей, на душу населения – 135,0 тыс. рублей.</w:t>
      </w:r>
    </w:p>
    <w:p w:rsidR="000C6EB8" w:rsidRDefault="000C6EB8" w:rsidP="000C6EB8">
      <w:pPr>
        <w:pStyle w:val="21"/>
        <w:spacing w:line="288" w:lineRule="auto"/>
        <w:jc w:val="both"/>
        <w:rPr>
          <w:rFonts w:cs="Arial"/>
          <w:sz w:val="22"/>
        </w:rPr>
      </w:pPr>
      <w:r>
        <w:rPr>
          <w:rFonts w:cs="Arial"/>
          <w:sz w:val="22"/>
        </w:rPr>
        <w:t xml:space="preserve">Основные фонды являются важнейшей составной частью национального богатства. Перспективы развития экономики во многом определяются состоянием основных фондов  и возможностями их обновления. </w:t>
      </w:r>
      <w:proofErr w:type="gramStart"/>
      <w:r>
        <w:rPr>
          <w:rFonts w:cs="Arial"/>
          <w:sz w:val="22"/>
        </w:rPr>
        <w:t>На к</w:t>
      </w:r>
      <w:r>
        <w:rPr>
          <w:rFonts w:cs="Arial"/>
          <w:sz w:val="22"/>
        </w:rPr>
        <w:t>о</w:t>
      </w:r>
      <w:r>
        <w:rPr>
          <w:rFonts w:cs="Arial"/>
          <w:sz w:val="22"/>
        </w:rPr>
        <w:t>нец</w:t>
      </w:r>
      <w:proofErr w:type="gramEnd"/>
      <w:r>
        <w:rPr>
          <w:rFonts w:cs="Arial"/>
          <w:sz w:val="22"/>
        </w:rPr>
        <w:t xml:space="preserve"> 201</w:t>
      </w:r>
      <w:r w:rsidRPr="00D54E4B">
        <w:rPr>
          <w:rFonts w:cs="Arial"/>
          <w:sz w:val="22"/>
        </w:rPr>
        <w:t>1</w:t>
      </w:r>
      <w:r>
        <w:rPr>
          <w:rFonts w:cs="Arial"/>
          <w:sz w:val="22"/>
        </w:rPr>
        <w:t xml:space="preserve"> года полная учетная стоимость основных фондов Ульяновской области, включая собственность граждан (по балансу основного капитала), составила 525,6 млрд. рублей и по сравнению с началом 2011 года увеличилась на 11,4 процент</w:t>
      </w:r>
      <w:r w:rsidR="00264F0E">
        <w:rPr>
          <w:rFonts w:cs="Arial"/>
          <w:sz w:val="22"/>
        </w:rPr>
        <w:t>а</w:t>
      </w:r>
      <w:r>
        <w:rPr>
          <w:rFonts w:cs="Arial"/>
          <w:sz w:val="22"/>
        </w:rPr>
        <w:t xml:space="preserve">. </w:t>
      </w:r>
    </w:p>
    <w:p w:rsidR="000C6EB8" w:rsidRDefault="000C6EB8" w:rsidP="000C6EB8">
      <w:pPr>
        <w:pStyle w:val="21"/>
        <w:spacing w:line="288" w:lineRule="auto"/>
        <w:ind w:firstLine="720"/>
        <w:jc w:val="both"/>
        <w:rPr>
          <w:rFonts w:cs="Arial"/>
          <w:sz w:val="22"/>
        </w:rPr>
      </w:pPr>
      <w:proofErr w:type="gramStart"/>
      <w:r>
        <w:rPr>
          <w:rFonts w:cs="Arial"/>
          <w:sz w:val="22"/>
        </w:rPr>
        <w:t>На конец 2011 года в составе основных фондов Ульяновской области 10,6 процента занимают основные фонды предприятий и о</w:t>
      </w:r>
      <w:r>
        <w:rPr>
          <w:rFonts w:cs="Arial"/>
          <w:sz w:val="22"/>
        </w:rPr>
        <w:t>р</w:t>
      </w:r>
      <w:r>
        <w:rPr>
          <w:rFonts w:cs="Arial"/>
          <w:sz w:val="22"/>
        </w:rPr>
        <w:t>ганизаций обрабатывающих производств (55692 млн. рублей), 8,4 процента – производства и распределения электроэнергии, газа и в</w:t>
      </w:r>
      <w:r>
        <w:rPr>
          <w:rFonts w:cs="Arial"/>
          <w:sz w:val="22"/>
        </w:rPr>
        <w:t>о</w:t>
      </w:r>
      <w:r>
        <w:rPr>
          <w:rFonts w:cs="Arial"/>
          <w:sz w:val="22"/>
        </w:rPr>
        <w:t>ды (44236 млн. рублей), 24,7 процента – операций с недвижимым имуществом, аренды и предоставления услуг (129822 млн. рублей), 33,8 процента – транспорта и связи (177693 млн. рублей).</w:t>
      </w:r>
      <w:proofErr w:type="gramEnd"/>
    </w:p>
    <w:p w:rsidR="000C6EB8" w:rsidRPr="00B34036" w:rsidRDefault="000C6EB8" w:rsidP="000C6EB8">
      <w:pPr>
        <w:pStyle w:val="21"/>
        <w:spacing w:line="288" w:lineRule="auto"/>
        <w:ind w:firstLine="720"/>
        <w:jc w:val="both"/>
        <w:rPr>
          <w:rFonts w:cs="Arial"/>
          <w:sz w:val="22"/>
        </w:rPr>
      </w:pPr>
      <w:r w:rsidRPr="00B34036">
        <w:rPr>
          <w:rFonts w:cs="Arial"/>
          <w:sz w:val="22"/>
        </w:rPr>
        <w:t>Одной из важнейших задач повышения эффектив</w:t>
      </w:r>
      <w:r w:rsidRPr="00B34036">
        <w:rPr>
          <w:rFonts w:cs="Arial"/>
          <w:sz w:val="22"/>
        </w:rPr>
        <w:softHyphen/>
        <w:t>ности использования основных фондов и инвестиций является своевременный ввод в эксплуатацию новых основных фондов и производственных мощностей, быстрое их освоение.  Ввод в действие новых основных сред</w:t>
      </w:r>
      <w:r>
        <w:rPr>
          <w:rFonts w:cs="Arial"/>
          <w:sz w:val="22"/>
        </w:rPr>
        <w:t>ств в 2011 году составил 32560</w:t>
      </w:r>
      <w:r w:rsidRPr="00B34036">
        <w:rPr>
          <w:rFonts w:cs="Arial"/>
          <w:sz w:val="22"/>
        </w:rPr>
        <w:t xml:space="preserve"> млн. рублей</w:t>
      </w:r>
      <w:r>
        <w:rPr>
          <w:rFonts w:cs="Arial"/>
          <w:sz w:val="22"/>
        </w:rPr>
        <w:t>,  коэффициент ввода составил 6,4 процента и  снизился на 1,2</w:t>
      </w:r>
      <w:r w:rsidRPr="00B34036">
        <w:rPr>
          <w:rFonts w:cs="Arial"/>
          <w:sz w:val="22"/>
        </w:rPr>
        <w:t xml:space="preserve">  процента  по сравнению с 1990 годом. Сдерживалось выбытие основных средств, коэффициенты ликвидации снизились с 1,9 процента в 1990 году до 0,4 проце</w:t>
      </w:r>
      <w:r w:rsidRPr="00B34036">
        <w:rPr>
          <w:rFonts w:cs="Arial"/>
          <w:sz w:val="22"/>
        </w:rPr>
        <w:t>н</w:t>
      </w:r>
      <w:r w:rsidRPr="00B34036">
        <w:rPr>
          <w:rFonts w:cs="Arial"/>
          <w:sz w:val="22"/>
        </w:rPr>
        <w:t>т</w:t>
      </w:r>
      <w:r>
        <w:rPr>
          <w:rFonts w:cs="Arial"/>
          <w:sz w:val="22"/>
        </w:rPr>
        <w:t>а в 2011</w:t>
      </w:r>
      <w:r w:rsidRPr="00B34036">
        <w:rPr>
          <w:rFonts w:cs="Arial"/>
          <w:sz w:val="22"/>
        </w:rPr>
        <w:t xml:space="preserve"> году. Как</w:t>
      </w:r>
      <w:r>
        <w:rPr>
          <w:rFonts w:cs="Arial"/>
          <w:sz w:val="22"/>
        </w:rPr>
        <w:t xml:space="preserve"> следствие этих процессов  на 13,4</w:t>
      </w:r>
      <w:r w:rsidRPr="00B34036">
        <w:rPr>
          <w:rFonts w:cs="Arial"/>
          <w:sz w:val="22"/>
        </w:rPr>
        <w:t xml:space="preserve"> процента по сравнению с 1990 годом увеличилась степень износа, а доля полн</w:t>
      </w:r>
      <w:r w:rsidRPr="00B34036">
        <w:rPr>
          <w:rFonts w:cs="Arial"/>
          <w:sz w:val="22"/>
        </w:rPr>
        <w:t>о</w:t>
      </w:r>
      <w:r w:rsidRPr="00B34036">
        <w:rPr>
          <w:rFonts w:cs="Arial"/>
          <w:sz w:val="22"/>
        </w:rPr>
        <w:t>стью изношенных в общем объеме основных фондов по крупным и сред</w:t>
      </w:r>
      <w:r>
        <w:rPr>
          <w:rFonts w:cs="Arial"/>
          <w:sz w:val="22"/>
        </w:rPr>
        <w:t>ним организациям достигла в 2011 году 12,2</w:t>
      </w:r>
      <w:r w:rsidRPr="00B34036">
        <w:rPr>
          <w:rFonts w:cs="Arial"/>
          <w:sz w:val="22"/>
        </w:rPr>
        <w:t xml:space="preserve"> процента, в том числе в обр</w:t>
      </w:r>
      <w:r>
        <w:rPr>
          <w:rFonts w:cs="Arial"/>
          <w:sz w:val="22"/>
        </w:rPr>
        <w:t>абатывающих производствах – 11,9</w:t>
      </w:r>
      <w:r w:rsidRPr="00B34036">
        <w:rPr>
          <w:rFonts w:cs="Arial"/>
          <w:sz w:val="22"/>
        </w:rPr>
        <w:t xml:space="preserve"> процен</w:t>
      </w:r>
      <w:r>
        <w:rPr>
          <w:rFonts w:cs="Arial"/>
          <w:sz w:val="22"/>
        </w:rPr>
        <w:t>та, на транспорте и связи – 12,2</w:t>
      </w:r>
      <w:r w:rsidRPr="00B34036">
        <w:rPr>
          <w:rFonts w:cs="Arial"/>
          <w:sz w:val="22"/>
        </w:rPr>
        <w:t xml:space="preserve"> процента.</w:t>
      </w:r>
    </w:p>
    <w:p w:rsidR="00A97E1C" w:rsidRDefault="00A97E1C">
      <w:pPr>
        <w:pStyle w:val="21"/>
        <w:spacing w:line="240" w:lineRule="auto"/>
        <w:ind w:firstLine="720"/>
        <w:jc w:val="both"/>
        <w:rPr>
          <w:rFonts w:cs="Arial"/>
          <w:sz w:val="22"/>
        </w:rPr>
      </w:pPr>
    </w:p>
    <w:p w:rsidR="00A97E1C" w:rsidRDefault="00A97E1C">
      <w:pPr>
        <w:pStyle w:val="8"/>
        <w:rPr>
          <w:sz w:val="22"/>
        </w:rPr>
      </w:pPr>
    </w:p>
    <w:p w:rsidR="00436049" w:rsidRDefault="00436049">
      <w:pPr>
        <w:rPr>
          <w:rFonts w:ascii="Arial" w:hAnsi="Arial"/>
          <w:b/>
          <w:i/>
          <w:caps/>
          <w:kern w:val="28"/>
          <w:sz w:val="24"/>
        </w:rPr>
      </w:pPr>
      <w:r>
        <w:br w:type="page"/>
      </w:r>
    </w:p>
    <w:p w:rsidR="000C6EB8" w:rsidRPr="00B37742" w:rsidRDefault="000C6EB8" w:rsidP="000C6EB8">
      <w:pPr>
        <w:pStyle w:val="1"/>
        <w:rPr>
          <w:color w:val="548DD4" w:themeColor="text2" w:themeTint="99"/>
        </w:rPr>
      </w:pPr>
      <w:bookmarkStart w:id="23" w:name="_Toc309826892"/>
      <w:r w:rsidRPr="00B37742">
        <w:rPr>
          <w:color w:val="548DD4" w:themeColor="text2" w:themeTint="99"/>
        </w:rPr>
        <w:lastRenderedPageBreak/>
        <w:t xml:space="preserve">ДОБЫЧА ПОЛЕЗНЫХ ИСКОПАЕМЫХ, ОБРАБАТЫВАЮЩИЕ </w:t>
      </w:r>
      <w:r w:rsidRPr="00B37742">
        <w:rPr>
          <w:color w:val="548DD4" w:themeColor="text2" w:themeTint="99"/>
        </w:rPr>
        <w:br/>
        <w:t>ПРОИЗВОДСТВА, ПРОИЗВОДСТВО ЭЛЕКТРОЭНЕРГИИ, ГАЗА И ВОДЫ</w:t>
      </w:r>
      <w:bookmarkEnd w:id="23"/>
    </w:p>
    <w:p w:rsidR="000C6EB8" w:rsidRDefault="000C6EB8" w:rsidP="000C6EB8">
      <w:pPr>
        <w:pStyle w:val="aa"/>
        <w:spacing w:line="240" w:lineRule="auto"/>
        <w:rPr>
          <w:rFonts w:cs="Arial"/>
          <w:sz w:val="22"/>
        </w:rPr>
      </w:pPr>
      <w:r>
        <w:rPr>
          <w:rFonts w:cs="Arial"/>
          <w:noProof/>
          <w:sz w:val="22"/>
        </w:rPr>
        <w:drawing>
          <wp:anchor distT="0" distB="0" distL="114300" distR="114300" simplePos="0" relativeHeight="251757568" behindDoc="0" locked="0" layoutInCell="1" allowOverlap="1">
            <wp:simplePos x="0" y="0"/>
            <wp:positionH relativeFrom="column">
              <wp:posOffset>-51435</wp:posOffset>
            </wp:positionH>
            <wp:positionV relativeFrom="paragraph">
              <wp:posOffset>161290</wp:posOffset>
            </wp:positionV>
            <wp:extent cx="1288415" cy="970280"/>
            <wp:effectExtent l="19050" t="0" r="6985" b="0"/>
            <wp:wrapSquare wrapText="bothSides"/>
            <wp:docPr id="72" name="Рисунок 64" descr="про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м1.jpg"/>
                    <pic:cNvPicPr/>
                  </pic:nvPicPr>
                  <pic:blipFill>
                    <a:blip r:embed="rId37"/>
                    <a:stretch>
                      <a:fillRect/>
                    </a:stretch>
                  </pic:blipFill>
                  <pic:spPr>
                    <a:xfrm>
                      <a:off x="0" y="0"/>
                      <a:ext cx="1288415" cy="970280"/>
                    </a:xfrm>
                    <a:prstGeom prst="rect">
                      <a:avLst/>
                    </a:prstGeom>
                  </pic:spPr>
                </pic:pic>
              </a:graphicData>
            </a:graphic>
          </wp:anchor>
        </w:drawing>
      </w:r>
    </w:p>
    <w:p w:rsidR="000C6EB8" w:rsidRDefault="000C6EB8" w:rsidP="000C6EB8">
      <w:pPr>
        <w:pStyle w:val="aa"/>
        <w:spacing w:line="240" w:lineRule="auto"/>
        <w:rPr>
          <w:rFonts w:cs="Arial"/>
          <w:sz w:val="22"/>
        </w:rPr>
      </w:pPr>
      <w:r>
        <w:rPr>
          <w:rFonts w:cs="Arial"/>
          <w:sz w:val="22"/>
        </w:rPr>
        <w:t>На начало 1944 года, согласно проведенной переписи предприятий, в Ульяновской области действовали 4513 предприятий и организаций, из них 578 были зарегистрированы как «крупные и мелкие» промышленные предпри</w:t>
      </w:r>
      <w:r>
        <w:rPr>
          <w:rFonts w:cs="Arial"/>
          <w:sz w:val="22"/>
        </w:rPr>
        <w:t>я</w:t>
      </w:r>
      <w:r>
        <w:rPr>
          <w:rFonts w:cs="Arial"/>
          <w:sz w:val="22"/>
        </w:rPr>
        <w:t xml:space="preserve">тия. </w:t>
      </w:r>
    </w:p>
    <w:p w:rsidR="000C6EB8" w:rsidRDefault="000C6EB8" w:rsidP="000C6EB8">
      <w:pPr>
        <w:pStyle w:val="aa"/>
        <w:spacing w:line="240" w:lineRule="auto"/>
        <w:rPr>
          <w:rFonts w:cs="Arial"/>
          <w:sz w:val="22"/>
        </w:rPr>
      </w:pPr>
      <w:r>
        <w:rPr>
          <w:rFonts w:cs="Arial"/>
          <w:sz w:val="22"/>
        </w:rPr>
        <w:t xml:space="preserve">В Наркоматах </w:t>
      </w:r>
      <w:proofErr w:type="spellStart"/>
      <w:r>
        <w:rPr>
          <w:rFonts w:cs="Arial"/>
          <w:sz w:val="22"/>
        </w:rPr>
        <w:t>Местпрома</w:t>
      </w:r>
      <w:proofErr w:type="spellEnd"/>
      <w:r>
        <w:rPr>
          <w:rFonts w:cs="Arial"/>
          <w:sz w:val="22"/>
        </w:rPr>
        <w:t xml:space="preserve"> функционировали 213 предприятий, </w:t>
      </w:r>
      <w:proofErr w:type="spellStart"/>
      <w:r>
        <w:rPr>
          <w:rFonts w:cs="Arial"/>
          <w:sz w:val="22"/>
        </w:rPr>
        <w:t>Пищепрома</w:t>
      </w:r>
      <w:proofErr w:type="spellEnd"/>
      <w:r>
        <w:rPr>
          <w:rFonts w:cs="Arial"/>
          <w:sz w:val="22"/>
        </w:rPr>
        <w:t xml:space="preserve"> – 156, </w:t>
      </w:r>
      <w:proofErr w:type="spellStart"/>
      <w:r>
        <w:rPr>
          <w:rFonts w:cs="Arial"/>
          <w:sz w:val="22"/>
        </w:rPr>
        <w:t>Мясомолпрома</w:t>
      </w:r>
      <w:proofErr w:type="spellEnd"/>
      <w:r>
        <w:rPr>
          <w:rFonts w:cs="Arial"/>
          <w:sz w:val="22"/>
        </w:rPr>
        <w:t xml:space="preserve"> – 73, Те</w:t>
      </w:r>
      <w:r>
        <w:rPr>
          <w:rFonts w:cs="Arial"/>
          <w:sz w:val="22"/>
        </w:rPr>
        <w:t>к</w:t>
      </w:r>
      <w:r>
        <w:rPr>
          <w:rFonts w:cs="Arial"/>
          <w:sz w:val="22"/>
        </w:rPr>
        <w:t xml:space="preserve">стиля – 29, </w:t>
      </w:r>
      <w:proofErr w:type="spellStart"/>
      <w:r>
        <w:rPr>
          <w:rFonts w:cs="Arial"/>
          <w:sz w:val="22"/>
        </w:rPr>
        <w:t>Легпрома</w:t>
      </w:r>
      <w:proofErr w:type="spellEnd"/>
      <w:r>
        <w:rPr>
          <w:rFonts w:cs="Arial"/>
          <w:sz w:val="22"/>
        </w:rPr>
        <w:t xml:space="preserve"> – 19, </w:t>
      </w:r>
      <w:proofErr w:type="spellStart"/>
      <w:r>
        <w:rPr>
          <w:rFonts w:cs="Arial"/>
          <w:sz w:val="22"/>
        </w:rPr>
        <w:t>Промстройматериалов</w:t>
      </w:r>
      <w:proofErr w:type="spellEnd"/>
      <w:r>
        <w:rPr>
          <w:rFonts w:cs="Arial"/>
          <w:sz w:val="22"/>
        </w:rPr>
        <w:t xml:space="preserve"> – 26, Заготовок – 22, Леса – 19, </w:t>
      </w:r>
      <w:proofErr w:type="spellStart"/>
      <w:r>
        <w:rPr>
          <w:rFonts w:cs="Arial"/>
          <w:sz w:val="22"/>
        </w:rPr>
        <w:t>Бумпрома</w:t>
      </w:r>
      <w:proofErr w:type="spellEnd"/>
      <w:r>
        <w:rPr>
          <w:rFonts w:cs="Arial"/>
          <w:sz w:val="22"/>
        </w:rPr>
        <w:t xml:space="preserve"> – 6 предприятий, а та</w:t>
      </w:r>
      <w:r>
        <w:rPr>
          <w:rFonts w:cs="Arial"/>
          <w:sz w:val="22"/>
        </w:rPr>
        <w:t>к</w:t>
      </w:r>
      <w:r>
        <w:rPr>
          <w:rFonts w:cs="Arial"/>
          <w:sz w:val="22"/>
        </w:rPr>
        <w:t xml:space="preserve">же НК Угля, Нефти, </w:t>
      </w:r>
      <w:proofErr w:type="spellStart"/>
      <w:r>
        <w:rPr>
          <w:rFonts w:cs="Arial"/>
          <w:sz w:val="22"/>
        </w:rPr>
        <w:t>Резинпрома</w:t>
      </w:r>
      <w:proofErr w:type="spellEnd"/>
      <w:r>
        <w:rPr>
          <w:rFonts w:cs="Arial"/>
          <w:sz w:val="22"/>
        </w:rPr>
        <w:t xml:space="preserve">, </w:t>
      </w:r>
      <w:proofErr w:type="spellStart"/>
      <w:r>
        <w:rPr>
          <w:rFonts w:cs="Arial"/>
          <w:sz w:val="22"/>
        </w:rPr>
        <w:t>Рыбпрома</w:t>
      </w:r>
      <w:proofErr w:type="spellEnd"/>
      <w:r>
        <w:rPr>
          <w:rFonts w:cs="Arial"/>
          <w:sz w:val="22"/>
        </w:rPr>
        <w:t xml:space="preserve"> и </w:t>
      </w:r>
      <w:proofErr w:type="spellStart"/>
      <w:r>
        <w:rPr>
          <w:rFonts w:cs="Arial"/>
          <w:sz w:val="22"/>
        </w:rPr>
        <w:t>Месттоппрома</w:t>
      </w:r>
      <w:proofErr w:type="spellEnd"/>
      <w:r>
        <w:rPr>
          <w:rFonts w:cs="Arial"/>
          <w:sz w:val="22"/>
        </w:rPr>
        <w:t xml:space="preserve">. </w:t>
      </w:r>
    </w:p>
    <w:p w:rsidR="000C6EB8" w:rsidRDefault="000C6EB8" w:rsidP="000C6EB8">
      <w:pPr>
        <w:pStyle w:val="22"/>
        <w:spacing w:line="240" w:lineRule="auto"/>
        <w:rPr>
          <w:rFonts w:cs="Arial"/>
          <w:sz w:val="22"/>
          <w:szCs w:val="22"/>
        </w:rPr>
      </w:pPr>
      <w:r>
        <w:rPr>
          <w:rFonts w:cs="Arial"/>
          <w:noProof/>
          <w:sz w:val="22"/>
          <w:szCs w:val="22"/>
        </w:rPr>
        <w:drawing>
          <wp:anchor distT="0" distB="0" distL="114300" distR="114300" simplePos="0" relativeHeight="251759616" behindDoc="0" locked="0" layoutInCell="1" allowOverlap="1">
            <wp:simplePos x="0" y="0"/>
            <wp:positionH relativeFrom="column">
              <wp:posOffset>-1410335</wp:posOffset>
            </wp:positionH>
            <wp:positionV relativeFrom="paragraph">
              <wp:posOffset>942975</wp:posOffset>
            </wp:positionV>
            <wp:extent cx="1283335" cy="988695"/>
            <wp:effectExtent l="19050" t="0" r="0" b="0"/>
            <wp:wrapSquare wrapText="bothSides"/>
            <wp:docPr id="74" name="Рисунок 66" descr="п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м.jpg"/>
                    <pic:cNvPicPr/>
                  </pic:nvPicPr>
                  <pic:blipFill>
                    <a:blip r:embed="rId38"/>
                    <a:stretch>
                      <a:fillRect/>
                    </a:stretch>
                  </pic:blipFill>
                  <pic:spPr>
                    <a:xfrm>
                      <a:off x="0" y="0"/>
                      <a:ext cx="1283335" cy="988695"/>
                    </a:xfrm>
                    <a:prstGeom prst="rect">
                      <a:avLst/>
                    </a:prstGeom>
                  </pic:spPr>
                </pic:pic>
              </a:graphicData>
            </a:graphic>
          </wp:anchor>
        </w:drawing>
      </w:r>
      <w:r>
        <w:rPr>
          <w:rFonts w:cs="Arial"/>
          <w:noProof/>
          <w:sz w:val="22"/>
          <w:szCs w:val="22"/>
        </w:rPr>
        <w:drawing>
          <wp:anchor distT="0" distB="0" distL="114300" distR="114300" simplePos="0" relativeHeight="251758592" behindDoc="1" locked="0" layoutInCell="1" allowOverlap="1">
            <wp:simplePos x="0" y="0"/>
            <wp:positionH relativeFrom="column">
              <wp:posOffset>-1400175</wp:posOffset>
            </wp:positionH>
            <wp:positionV relativeFrom="paragraph">
              <wp:posOffset>3175</wp:posOffset>
            </wp:positionV>
            <wp:extent cx="1285200" cy="939600"/>
            <wp:effectExtent l="0" t="0" r="0" b="0"/>
            <wp:wrapThrough wrapText="bothSides">
              <wp:wrapPolygon edited="0">
                <wp:start x="0" y="0"/>
                <wp:lineTo x="0" y="21030"/>
                <wp:lineTo x="21141" y="21030"/>
                <wp:lineTo x="21141" y="0"/>
                <wp:lineTo x="0" y="0"/>
              </wp:wrapPolygon>
            </wp:wrapThrough>
            <wp:docPr id="75" name="Рисунок 65" descr="про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м2.jpg"/>
                    <pic:cNvPicPr/>
                  </pic:nvPicPr>
                  <pic:blipFill>
                    <a:blip r:embed="rId39"/>
                    <a:stretch>
                      <a:fillRect/>
                    </a:stretch>
                  </pic:blipFill>
                  <pic:spPr>
                    <a:xfrm>
                      <a:off x="0" y="0"/>
                      <a:ext cx="1285200" cy="939600"/>
                    </a:xfrm>
                    <a:prstGeom prst="rect">
                      <a:avLst/>
                    </a:prstGeom>
                  </pic:spPr>
                </pic:pic>
              </a:graphicData>
            </a:graphic>
          </wp:anchor>
        </w:drawing>
      </w:r>
      <w:r w:rsidRPr="002D1638">
        <w:rPr>
          <w:rFonts w:cs="Arial"/>
          <w:sz w:val="22"/>
          <w:szCs w:val="22"/>
        </w:rPr>
        <w:t>В военные годы (с 1941 по 1945 г.г.), работая в труднейших условиях, предприятиям промышленности уд</w:t>
      </w:r>
      <w:r w:rsidRPr="002D1638">
        <w:rPr>
          <w:rFonts w:cs="Arial"/>
          <w:sz w:val="22"/>
          <w:szCs w:val="22"/>
        </w:rPr>
        <w:t>а</w:t>
      </w:r>
      <w:r w:rsidRPr="002D1638">
        <w:rPr>
          <w:rFonts w:cs="Arial"/>
          <w:sz w:val="22"/>
          <w:szCs w:val="22"/>
        </w:rPr>
        <w:t>лось значительно увеличить производство продукции к 1940 году – на 17,9%. В первые послевоенные годы для во</w:t>
      </w:r>
      <w:r w:rsidRPr="002D1638">
        <w:rPr>
          <w:rFonts w:cs="Arial"/>
          <w:sz w:val="22"/>
          <w:szCs w:val="22"/>
        </w:rPr>
        <w:t>с</w:t>
      </w:r>
      <w:r w:rsidRPr="002D1638">
        <w:rPr>
          <w:rFonts w:cs="Arial"/>
          <w:sz w:val="22"/>
          <w:szCs w:val="22"/>
        </w:rPr>
        <w:t>становления разрушенного народного хозяйства одним из главных направлений стало наращивание объемов прои</w:t>
      </w:r>
      <w:r w:rsidRPr="002D1638">
        <w:rPr>
          <w:rFonts w:cs="Arial"/>
          <w:sz w:val="22"/>
          <w:szCs w:val="22"/>
        </w:rPr>
        <w:t>з</w:t>
      </w:r>
      <w:r w:rsidRPr="002D1638">
        <w:rPr>
          <w:rFonts w:cs="Arial"/>
          <w:sz w:val="22"/>
          <w:szCs w:val="22"/>
        </w:rPr>
        <w:t>водства промышленной продукции. В последующие десять лет (с 1946 по 1955 годы) рост объемов производства продукции составил в среднем за год 13,8%, кроме 1946 и 1951 г., когда произошло снижение производства к уровню</w:t>
      </w:r>
      <w:r w:rsidR="00B73854">
        <w:rPr>
          <w:rFonts w:cs="Arial"/>
          <w:sz w:val="22"/>
          <w:szCs w:val="22"/>
        </w:rPr>
        <w:t xml:space="preserve"> </w:t>
      </w:r>
      <w:r w:rsidRPr="002D1638">
        <w:rPr>
          <w:rFonts w:cs="Arial"/>
          <w:sz w:val="22"/>
          <w:szCs w:val="22"/>
        </w:rPr>
        <w:t>предыдущих лет, соответственно, на 12,6% и 0,6%.</w:t>
      </w:r>
    </w:p>
    <w:p w:rsidR="000C6EB8" w:rsidRDefault="000C6EB8" w:rsidP="000C6EB8">
      <w:pPr>
        <w:pStyle w:val="22"/>
        <w:spacing w:line="240" w:lineRule="auto"/>
        <w:rPr>
          <w:rFonts w:cs="Arial"/>
          <w:sz w:val="22"/>
        </w:rPr>
      </w:pPr>
      <w:r>
        <w:rPr>
          <w:rFonts w:cs="Arial"/>
          <w:sz w:val="22"/>
        </w:rPr>
        <w:t>После завершения периода восстановления народного хозяйства промышленность области продолжала ра</w:t>
      </w:r>
      <w:r>
        <w:rPr>
          <w:rFonts w:cs="Arial"/>
          <w:sz w:val="22"/>
        </w:rPr>
        <w:t>з</w:t>
      </w:r>
      <w:r>
        <w:rPr>
          <w:rFonts w:cs="Arial"/>
          <w:sz w:val="22"/>
        </w:rPr>
        <w:t xml:space="preserve">виваться. Одновременно, согласно требованиям времени, в промышленности происходили структурные изменения. В разряд ведущих отраслей выдвинулись легкая промышленность, машиностроение и металлообработка, пищевая промышленность, их доля в объеме промышленного производства области составила к 1960 году, соответственно, 42%, 30% и 12%. </w:t>
      </w:r>
    </w:p>
    <w:p w:rsidR="000C6EB8" w:rsidRPr="008A76AD" w:rsidRDefault="000C6EB8" w:rsidP="000C6EB8">
      <w:pPr>
        <w:ind w:firstLine="709"/>
        <w:jc w:val="both"/>
        <w:rPr>
          <w:rFonts w:ascii="Arial" w:hAnsi="Arial" w:cs="Arial"/>
          <w:sz w:val="22"/>
        </w:rPr>
      </w:pPr>
    </w:p>
    <w:p w:rsidR="000C6EB8" w:rsidRDefault="000C6EB8" w:rsidP="000C6EB8">
      <w:pPr>
        <w:ind w:firstLine="709"/>
        <w:jc w:val="center"/>
        <w:rPr>
          <w:rFonts w:ascii="Arial" w:hAnsi="Arial" w:cs="Arial"/>
          <w:b/>
          <w:sz w:val="22"/>
        </w:rPr>
      </w:pPr>
      <w:r w:rsidRPr="00733449">
        <w:rPr>
          <w:rFonts w:ascii="Arial" w:hAnsi="Arial" w:cs="Arial"/>
          <w:b/>
          <w:sz w:val="22"/>
        </w:rPr>
        <w:t xml:space="preserve">ДИНАМИКА </w:t>
      </w:r>
      <w:r>
        <w:rPr>
          <w:rFonts w:ascii="Arial" w:hAnsi="Arial" w:cs="Arial"/>
          <w:b/>
          <w:sz w:val="22"/>
        </w:rPr>
        <w:t xml:space="preserve">ИНДЕКСОВ </w:t>
      </w:r>
      <w:r w:rsidRPr="00733449">
        <w:rPr>
          <w:rFonts w:ascii="Arial" w:hAnsi="Arial" w:cs="Arial"/>
          <w:b/>
          <w:sz w:val="22"/>
        </w:rPr>
        <w:t xml:space="preserve">ПРОМЫШЛЕННОГО ПРОИЗВОДСТВА </w:t>
      </w:r>
    </w:p>
    <w:p w:rsidR="000C6EB8" w:rsidRDefault="000C6EB8" w:rsidP="000C6EB8">
      <w:pPr>
        <w:spacing w:after="60"/>
        <w:ind w:firstLine="709"/>
        <w:jc w:val="center"/>
        <w:rPr>
          <w:rFonts w:ascii="Arial" w:hAnsi="Arial" w:cs="Arial"/>
          <w:sz w:val="22"/>
        </w:rPr>
      </w:pPr>
      <w:r w:rsidRPr="001753B5">
        <w:rPr>
          <w:rFonts w:ascii="Arial" w:hAnsi="Arial" w:cs="Arial"/>
          <w:sz w:val="22"/>
        </w:rPr>
        <w:t>(</w:t>
      </w:r>
      <w:r>
        <w:rPr>
          <w:rFonts w:ascii="Arial" w:hAnsi="Arial" w:cs="Arial"/>
          <w:sz w:val="22"/>
        </w:rPr>
        <w:t>в  процентах к предыдущему году)</w:t>
      </w:r>
    </w:p>
    <w:p w:rsidR="000C6EB8" w:rsidRDefault="000C6EB8" w:rsidP="000C6EB8">
      <w:pPr>
        <w:rPr>
          <w:rFonts w:ascii="Arial" w:hAnsi="Arial" w:cs="Arial"/>
          <w:sz w:val="22"/>
        </w:rPr>
      </w:pPr>
      <w:r w:rsidRPr="00F447CD">
        <w:rPr>
          <w:rFonts w:ascii="Arial" w:hAnsi="Arial" w:cs="Arial"/>
          <w:noProof/>
          <w:sz w:val="22"/>
          <w:bdr w:val="double" w:sz="4" w:space="0" w:color="auto"/>
        </w:rPr>
        <w:drawing>
          <wp:inline distT="0" distB="0" distL="0" distR="0">
            <wp:extent cx="8997351" cy="2147977"/>
            <wp:effectExtent l="0" t="0" r="0" b="0"/>
            <wp:docPr id="7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C6EB8" w:rsidRDefault="000C6EB8" w:rsidP="000C6EB8">
      <w:pPr>
        <w:ind w:firstLine="709"/>
        <w:jc w:val="both"/>
        <w:rPr>
          <w:rFonts w:ascii="Arial" w:hAnsi="Arial" w:cs="Arial"/>
          <w:sz w:val="22"/>
        </w:rPr>
      </w:pPr>
    </w:p>
    <w:p w:rsidR="000C6EB8" w:rsidRDefault="000C6EB8" w:rsidP="000C6EB8">
      <w:pPr>
        <w:ind w:firstLine="709"/>
        <w:jc w:val="both"/>
        <w:rPr>
          <w:rFonts w:ascii="Arial" w:hAnsi="Arial" w:cs="Arial"/>
          <w:sz w:val="22"/>
        </w:rPr>
      </w:pPr>
      <w:r>
        <w:rPr>
          <w:rFonts w:ascii="Arial" w:hAnsi="Arial" w:cs="Arial"/>
          <w:sz w:val="22"/>
        </w:rPr>
        <w:lastRenderedPageBreak/>
        <w:t xml:space="preserve">За периоды с 1956 по 1965 годы прирост объемов производства в среднем за год составлял 9,7%, с 1966 по 1975 годы – 10,4%, с 1976 по 1985 годы – 4,3%, а за период </w:t>
      </w:r>
      <w:proofErr w:type="gramStart"/>
      <w:r>
        <w:rPr>
          <w:rFonts w:ascii="Arial" w:hAnsi="Arial" w:cs="Arial"/>
          <w:sz w:val="22"/>
        </w:rPr>
        <w:t>с</w:t>
      </w:r>
      <w:proofErr w:type="gramEnd"/>
      <w:r>
        <w:rPr>
          <w:rFonts w:ascii="Arial" w:hAnsi="Arial" w:cs="Arial"/>
          <w:sz w:val="22"/>
        </w:rPr>
        <w:t xml:space="preserve"> 1971 </w:t>
      </w:r>
      <w:proofErr w:type="gramStart"/>
      <w:r>
        <w:rPr>
          <w:rFonts w:ascii="Arial" w:hAnsi="Arial" w:cs="Arial"/>
          <w:sz w:val="22"/>
        </w:rPr>
        <w:t>по</w:t>
      </w:r>
      <w:proofErr w:type="gramEnd"/>
      <w:r>
        <w:rPr>
          <w:rFonts w:ascii="Arial" w:hAnsi="Arial" w:cs="Arial"/>
          <w:sz w:val="22"/>
        </w:rPr>
        <w:t xml:space="preserve"> 1980  годы  прирост объемов производства  в среднем за год составлял 6,2%.</w:t>
      </w:r>
    </w:p>
    <w:p w:rsidR="000C6EB8" w:rsidRPr="000E514F" w:rsidRDefault="000C6EB8" w:rsidP="000C6EB8">
      <w:pPr>
        <w:pStyle w:val="21"/>
        <w:spacing w:line="240" w:lineRule="auto"/>
        <w:ind w:firstLine="709"/>
        <w:jc w:val="both"/>
        <w:rPr>
          <w:rFonts w:cs="Arial"/>
          <w:sz w:val="22"/>
        </w:rPr>
      </w:pPr>
      <w:r>
        <w:rPr>
          <w:rFonts w:cs="Arial"/>
          <w:sz w:val="22"/>
        </w:rPr>
        <w:t xml:space="preserve">Однако с 1986 по 1995 годы темпы производства начали снижаться и составили 1,0% в год. Положительная динамика стала наблюдаться с 2005 по 2010 год, когда прирост производства в среднем в год составлял 2,6%, кроме 2009 года,  когда снижение к предыдущему году составило 24,8%. </w:t>
      </w:r>
      <w:r w:rsidRPr="000E514F">
        <w:rPr>
          <w:rFonts w:cs="Arial"/>
          <w:sz w:val="22"/>
        </w:rPr>
        <w:t>Главным фактором спада производства явился мировой финансовый кризис, который охватил эк</w:t>
      </w:r>
      <w:r w:rsidRPr="000E514F">
        <w:rPr>
          <w:rFonts w:cs="Arial"/>
          <w:sz w:val="22"/>
        </w:rPr>
        <w:t>о</w:t>
      </w:r>
      <w:r w:rsidRPr="000E514F">
        <w:rPr>
          <w:rFonts w:cs="Arial"/>
          <w:sz w:val="22"/>
        </w:rPr>
        <w:t>номику области в 2009 году.</w:t>
      </w:r>
    </w:p>
    <w:p w:rsidR="000C6EB8" w:rsidRDefault="000C6EB8" w:rsidP="000C6EB8">
      <w:pPr>
        <w:ind w:firstLine="709"/>
        <w:jc w:val="both"/>
        <w:rPr>
          <w:rFonts w:ascii="Arial" w:hAnsi="Arial" w:cs="Arial"/>
          <w:sz w:val="22"/>
        </w:rPr>
      </w:pPr>
      <w:r>
        <w:rPr>
          <w:rFonts w:ascii="Arial" w:hAnsi="Arial" w:cs="Arial"/>
          <w:sz w:val="22"/>
        </w:rPr>
        <w:t>В 1990-е годы структура промышленности меняется. Интенсивный рост машиностроения и металлообработки, электроэнергетики привел к увеличению удельного веса их продукции в 2004 году соответственно до 54,8% и 12,7% (в 1960 г. доля электроэнергетики с</w:t>
      </w:r>
      <w:r>
        <w:rPr>
          <w:rFonts w:ascii="Arial" w:hAnsi="Arial" w:cs="Arial"/>
          <w:sz w:val="22"/>
        </w:rPr>
        <w:t>о</w:t>
      </w:r>
      <w:r>
        <w:rPr>
          <w:rFonts w:ascii="Arial" w:hAnsi="Arial" w:cs="Arial"/>
          <w:sz w:val="22"/>
        </w:rPr>
        <w:t xml:space="preserve">ставляла 1,1%, машиностроения и металлообработки </w:t>
      </w:r>
      <w:r w:rsidRPr="006A266A">
        <w:rPr>
          <w:rFonts w:ascii="Arial" w:hAnsi="Arial" w:cs="Arial"/>
          <w:sz w:val="22"/>
        </w:rPr>
        <w:t>30</w:t>
      </w:r>
      <w:r>
        <w:rPr>
          <w:rFonts w:ascii="Arial" w:hAnsi="Arial" w:cs="Arial"/>
          <w:sz w:val="22"/>
        </w:rPr>
        <w:t>,</w:t>
      </w:r>
      <w:r w:rsidRPr="006A266A">
        <w:rPr>
          <w:rFonts w:ascii="Arial" w:hAnsi="Arial" w:cs="Arial"/>
          <w:sz w:val="22"/>
        </w:rPr>
        <w:t>0</w:t>
      </w:r>
      <w:r>
        <w:rPr>
          <w:rFonts w:ascii="Arial" w:hAnsi="Arial" w:cs="Arial"/>
          <w:sz w:val="22"/>
        </w:rPr>
        <w:t>%). Предприятия пищевой промышленности сохранили выпуск своей проду</w:t>
      </w:r>
      <w:r>
        <w:rPr>
          <w:rFonts w:ascii="Arial" w:hAnsi="Arial" w:cs="Arial"/>
          <w:sz w:val="22"/>
        </w:rPr>
        <w:t>к</w:t>
      </w:r>
      <w:r>
        <w:rPr>
          <w:rFonts w:ascii="Arial" w:hAnsi="Arial" w:cs="Arial"/>
          <w:sz w:val="22"/>
        </w:rPr>
        <w:t xml:space="preserve">ции на прежнем уровне – 13,3% (в 1960 г. было 12%). </w:t>
      </w:r>
    </w:p>
    <w:p w:rsidR="000C6EB8" w:rsidRDefault="000C6EB8" w:rsidP="000C6EB8">
      <w:pPr>
        <w:ind w:firstLine="709"/>
        <w:jc w:val="both"/>
        <w:rPr>
          <w:rFonts w:ascii="Arial" w:hAnsi="Arial" w:cs="Arial"/>
          <w:sz w:val="22"/>
        </w:rPr>
      </w:pPr>
      <w:r>
        <w:rPr>
          <w:rFonts w:ascii="Arial" w:hAnsi="Arial" w:cs="Arial"/>
          <w:sz w:val="22"/>
        </w:rPr>
        <w:t>В эти годы возрастает значение предприятий промышленности строительных материалов, доля продукции которых увеличилась после девяностых годов почти в 2 раза и в 2004 году составила 6,2%. Одновременно с этим, быстро утрачивает свои позиции легкая промышленность. Её доля в объеме промышленного производства области упала с 28% в 1990 году до 4,2% в 2004 году. Здесь в бол</w:t>
      </w:r>
      <w:r>
        <w:rPr>
          <w:rFonts w:ascii="Arial" w:hAnsi="Arial" w:cs="Arial"/>
          <w:sz w:val="22"/>
        </w:rPr>
        <w:t>ь</w:t>
      </w:r>
      <w:r>
        <w:rPr>
          <w:rFonts w:ascii="Arial" w:hAnsi="Arial" w:cs="Arial"/>
          <w:sz w:val="22"/>
        </w:rPr>
        <w:t>шей степени сказался спад производства в текстильной промышленности, объёмы продукции которой сократились в 2003 году по сра</w:t>
      </w:r>
      <w:r>
        <w:rPr>
          <w:rFonts w:ascii="Arial" w:hAnsi="Arial" w:cs="Arial"/>
          <w:sz w:val="22"/>
        </w:rPr>
        <w:t>в</w:t>
      </w:r>
      <w:r>
        <w:rPr>
          <w:rFonts w:ascii="Arial" w:hAnsi="Arial" w:cs="Arial"/>
          <w:sz w:val="22"/>
        </w:rPr>
        <w:t>нению с 1960 годом на 29,8%, с 1980 годом – на 73,6% и увеличившийся поток импортной продукции.</w:t>
      </w:r>
    </w:p>
    <w:p w:rsidR="000C6EB8" w:rsidRDefault="000C6EB8" w:rsidP="000C6EB8">
      <w:pPr>
        <w:ind w:firstLine="709"/>
        <w:jc w:val="both"/>
        <w:rPr>
          <w:rFonts w:ascii="Arial" w:hAnsi="Arial" w:cs="Arial"/>
          <w:sz w:val="22"/>
        </w:rPr>
      </w:pPr>
      <w:r>
        <w:rPr>
          <w:rFonts w:ascii="Arial" w:hAnsi="Arial" w:cs="Arial"/>
          <w:sz w:val="22"/>
        </w:rPr>
        <w:t xml:space="preserve">Изменения в структуре промышленного производства связаны также с ростом добычи нефти, что способствовало повышению значения топливной промышленности. Доля объемов этой отрасли увеличилась с 0,2% в 1992 году до 2,1% в 2002 году и 2,6% в 2003 году. В 2006 году удельный вес сферы «Добыча топливно-энергетических полезных ископаемых» достиг 3,9%, в 2009 годы - 4,0%,  в 2011 году - 4,3%. </w:t>
      </w:r>
    </w:p>
    <w:p w:rsidR="000C6EB8" w:rsidRDefault="000C6EB8" w:rsidP="000C6EB8">
      <w:pPr>
        <w:ind w:firstLine="709"/>
        <w:jc w:val="center"/>
        <w:rPr>
          <w:rFonts w:ascii="Arial" w:hAnsi="Arial" w:cs="Arial"/>
          <w:b/>
          <w:sz w:val="22"/>
        </w:rPr>
      </w:pPr>
      <w:r w:rsidRPr="001E2C83">
        <w:rPr>
          <w:rFonts w:ascii="Arial" w:hAnsi="Arial" w:cs="Arial"/>
          <w:b/>
          <w:sz w:val="22"/>
        </w:rPr>
        <w:t>ДОБЫЧА НЕФТИ</w:t>
      </w:r>
    </w:p>
    <w:p w:rsidR="000C6EB8" w:rsidRPr="00952A6D" w:rsidRDefault="00952A6D" w:rsidP="00952A6D">
      <w:pPr>
        <w:spacing w:after="80"/>
        <w:ind w:firstLine="709"/>
        <w:jc w:val="center"/>
        <w:rPr>
          <w:rFonts w:ascii="Arial" w:hAnsi="Arial" w:cs="Arial"/>
          <w:sz w:val="22"/>
          <w:szCs w:val="22"/>
        </w:rPr>
      </w:pPr>
      <w:r>
        <w:rPr>
          <w:rFonts w:ascii="Arial" w:hAnsi="Arial" w:cs="Arial"/>
          <w:sz w:val="22"/>
          <w:szCs w:val="22"/>
        </w:rPr>
        <w:t>(</w:t>
      </w:r>
      <w:r w:rsidR="000C6EB8" w:rsidRPr="00A64749">
        <w:rPr>
          <w:rFonts w:ascii="Arial" w:hAnsi="Arial" w:cs="Arial"/>
          <w:sz w:val="22"/>
          <w:szCs w:val="22"/>
        </w:rPr>
        <w:t>тыс. тонн</w:t>
      </w:r>
      <w:r>
        <w:rPr>
          <w:rFonts w:ascii="Arial" w:hAnsi="Arial" w:cs="Arial"/>
          <w:sz w:val="22"/>
          <w:szCs w:val="22"/>
        </w:rPr>
        <w:t>)</w:t>
      </w:r>
    </w:p>
    <w:tbl>
      <w:tblPr>
        <w:tblStyle w:val="-12"/>
        <w:tblW w:w="0" w:type="auto"/>
        <w:tblBorders>
          <w:insideH w:val="single" w:sz="8" w:space="0" w:color="4F81BD" w:themeColor="accent1"/>
        </w:tblBorders>
        <w:tblLook w:val="04A0" w:firstRow="1" w:lastRow="0" w:firstColumn="1" w:lastColumn="0" w:noHBand="0" w:noVBand="1"/>
      </w:tblPr>
      <w:tblGrid>
        <w:gridCol w:w="1951"/>
        <w:gridCol w:w="1394"/>
        <w:gridCol w:w="1395"/>
        <w:gridCol w:w="1395"/>
        <w:gridCol w:w="1395"/>
        <w:gridCol w:w="1394"/>
        <w:gridCol w:w="1395"/>
        <w:gridCol w:w="1395"/>
        <w:gridCol w:w="1395"/>
        <w:gridCol w:w="1395"/>
      </w:tblGrid>
      <w:tr w:rsidR="00A64749" w:rsidRPr="00A64749" w:rsidTr="00A647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shd w:val="clear" w:color="auto" w:fill="C6D9F1" w:themeFill="text2" w:themeFillTint="33"/>
          </w:tcPr>
          <w:p w:rsidR="000C6EB8" w:rsidRPr="00A64749" w:rsidRDefault="000C6EB8" w:rsidP="00A64749">
            <w:pPr>
              <w:spacing w:before="60" w:after="60"/>
              <w:jc w:val="both"/>
              <w:rPr>
                <w:rFonts w:cs="Arial"/>
              </w:rPr>
            </w:pPr>
          </w:p>
        </w:tc>
        <w:tc>
          <w:tcPr>
            <w:tcW w:w="1394"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1992</w:t>
            </w:r>
          </w:p>
        </w:tc>
        <w:tc>
          <w:tcPr>
            <w:tcW w:w="1395"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1993</w:t>
            </w:r>
          </w:p>
        </w:tc>
        <w:tc>
          <w:tcPr>
            <w:tcW w:w="1395"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1997</w:t>
            </w:r>
          </w:p>
        </w:tc>
        <w:tc>
          <w:tcPr>
            <w:tcW w:w="1395"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2000</w:t>
            </w:r>
          </w:p>
        </w:tc>
        <w:tc>
          <w:tcPr>
            <w:tcW w:w="1394"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2002</w:t>
            </w:r>
          </w:p>
        </w:tc>
        <w:tc>
          <w:tcPr>
            <w:tcW w:w="1395"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2003</w:t>
            </w:r>
          </w:p>
        </w:tc>
        <w:tc>
          <w:tcPr>
            <w:tcW w:w="1395"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2006</w:t>
            </w:r>
          </w:p>
        </w:tc>
        <w:tc>
          <w:tcPr>
            <w:tcW w:w="1395"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2010</w:t>
            </w:r>
          </w:p>
        </w:tc>
        <w:tc>
          <w:tcPr>
            <w:tcW w:w="1395" w:type="dxa"/>
            <w:shd w:val="clear" w:color="auto" w:fill="C6D9F1" w:themeFill="text2" w:themeFillTint="33"/>
          </w:tcPr>
          <w:p w:rsidR="000C6EB8" w:rsidRPr="00A64749" w:rsidRDefault="000C6EB8" w:rsidP="00A64749">
            <w:pPr>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A64749">
              <w:rPr>
                <w:rFonts w:cs="Arial"/>
              </w:rPr>
              <w:t>2011</w:t>
            </w:r>
          </w:p>
        </w:tc>
      </w:tr>
      <w:tr w:rsidR="000C6EB8" w:rsidRPr="00A64749" w:rsidTr="00A64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tcBorders>
          </w:tcPr>
          <w:p w:rsidR="000C6EB8" w:rsidRPr="00A64749" w:rsidRDefault="000C6EB8" w:rsidP="00A64749">
            <w:pPr>
              <w:spacing w:before="60" w:after="60"/>
              <w:rPr>
                <w:rFonts w:cs="Arial"/>
                <w:b w:val="0"/>
              </w:rPr>
            </w:pPr>
            <w:r w:rsidRPr="00A64749">
              <w:rPr>
                <w:rFonts w:cs="Arial"/>
                <w:b w:val="0"/>
              </w:rPr>
              <w:t>Нефть добытая</w:t>
            </w:r>
          </w:p>
        </w:tc>
        <w:tc>
          <w:tcPr>
            <w:tcW w:w="1394"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57</w:t>
            </w:r>
          </w:p>
        </w:tc>
        <w:tc>
          <w:tcPr>
            <w:tcW w:w="1395"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80</w:t>
            </w:r>
          </w:p>
        </w:tc>
        <w:tc>
          <w:tcPr>
            <w:tcW w:w="1395"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257</w:t>
            </w:r>
          </w:p>
        </w:tc>
        <w:tc>
          <w:tcPr>
            <w:tcW w:w="1395"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374</w:t>
            </w:r>
          </w:p>
        </w:tc>
        <w:tc>
          <w:tcPr>
            <w:tcW w:w="1394"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523</w:t>
            </w:r>
          </w:p>
        </w:tc>
        <w:tc>
          <w:tcPr>
            <w:tcW w:w="1395"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566</w:t>
            </w:r>
          </w:p>
        </w:tc>
        <w:tc>
          <w:tcPr>
            <w:tcW w:w="1395"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689</w:t>
            </w:r>
          </w:p>
        </w:tc>
        <w:tc>
          <w:tcPr>
            <w:tcW w:w="1395" w:type="dxa"/>
            <w:tcBorders>
              <w:top w:val="none" w:sz="0" w:space="0" w:color="auto"/>
              <w:bottom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593</w:t>
            </w:r>
          </w:p>
        </w:tc>
        <w:tc>
          <w:tcPr>
            <w:tcW w:w="1395" w:type="dxa"/>
            <w:tcBorders>
              <w:top w:val="none" w:sz="0" w:space="0" w:color="auto"/>
              <w:bottom w:val="none" w:sz="0" w:space="0" w:color="auto"/>
              <w:right w:val="none" w:sz="0" w:space="0" w:color="auto"/>
            </w:tcBorders>
          </w:tcPr>
          <w:p w:rsidR="000C6EB8" w:rsidRPr="00A64749" w:rsidRDefault="000C6EB8" w:rsidP="00A64749">
            <w:pPr>
              <w:spacing w:before="60" w:after="60"/>
              <w:jc w:val="center"/>
              <w:cnfStyle w:val="000000100000" w:firstRow="0" w:lastRow="0" w:firstColumn="0" w:lastColumn="0" w:oddVBand="0" w:evenVBand="0" w:oddHBand="1" w:evenHBand="0" w:firstRowFirstColumn="0" w:firstRowLastColumn="0" w:lastRowFirstColumn="0" w:lastRowLastColumn="0"/>
              <w:rPr>
                <w:rFonts w:cs="Arial"/>
              </w:rPr>
            </w:pPr>
            <w:r w:rsidRPr="00A64749">
              <w:rPr>
                <w:rFonts w:cs="Arial"/>
              </w:rPr>
              <w:t>610</w:t>
            </w:r>
          </w:p>
        </w:tc>
      </w:tr>
    </w:tbl>
    <w:p w:rsidR="000C6EB8" w:rsidRDefault="000C6EB8" w:rsidP="000C6EB8">
      <w:pPr>
        <w:ind w:firstLine="709"/>
        <w:jc w:val="both"/>
        <w:rPr>
          <w:rFonts w:ascii="Arial" w:hAnsi="Arial" w:cs="Arial"/>
          <w:sz w:val="22"/>
        </w:rPr>
      </w:pPr>
    </w:p>
    <w:p w:rsidR="000C6EB8" w:rsidRDefault="000C6EB8" w:rsidP="000C6EB8">
      <w:pPr>
        <w:pStyle w:val="22"/>
        <w:spacing w:line="240" w:lineRule="auto"/>
        <w:ind w:firstLine="700"/>
        <w:rPr>
          <w:rFonts w:cs="Arial"/>
          <w:sz w:val="22"/>
        </w:rPr>
      </w:pPr>
      <w:r w:rsidRPr="0083330B">
        <w:rPr>
          <w:rFonts w:cs="Arial"/>
          <w:sz w:val="22"/>
        </w:rPr>
        <w:t>Начиная с 1990 года, происходят изменения в организационно-правовой структуре предприятий, они становятся обществами ра</w:t>
      </w:r>
      <w:r w:rsidRPr="0083330B">
        <w:rPr>
          <w:rFonts w:cs="Arial"/>
          <w:sz w:val="22"/>
        </w:rPr>
        <w:t>з</w:t>
      </w:r>
      <w:r w:rsidRPr="0083330B">
        <w:rPr>
          <w:rFonts w:cs="Arial"/>
          <w:sz w:val="22"/>
        </w:rPr>
        <w:t>личных типов собственности. Помимо государственной собственности, появляются новые виды собственности: муниципальная, частная, собственность общественных</w:t>
      </w:r>
      <w:r>
        <w:rPr>
          <w:rFonts w:cs="Arial"/>
          <w:sz w:val="22"/>
        </w:rPr>
        <w:t xml:space="preserve"> и религиозных </w:t>
      </w:r>
      <w:r w:rsidRPr="0083330B">
        <w:rPr>
          <w:rFonts w:cs="Arial"/>
          <w:sz w:val="22"/>
        </w:rPr>
        <w:t xml:space="preserve">организаций, смешанная российская собственность, </w:t>
      </w:r>
      <w:r>
        <w:rPr>
          <w:rFonts w:cs="Arial"/>
          <w:sz w:val="22"/>
        </w:rPr>
        <w:t>собственность потребительской кооп</w:t>
      </w:r>
      <w:r>
        <w:rPr>
          <w:rFonts w:cs="Arial"/>
          <w:sz w:val="22"/>
        </w:rPr>
        <w:t>е</w:t>
      </w:r>
      <w:r>
        <w:rPr>
          <w:rFonts w:cs="Arial"/>
          <w:sz w:val="22"/>
        </w:rPr>
        <w:t xml:space="preserve">рации, </w:t>
      </w:r>
      <w:r w:rsidRPr="0083330B">
        <w:rPr>
          <w:rFonts w:cs="Arial"/>
          <w:sz w:val="22"/>
        </w:rPr>
        <w:t>иностранная собственность</w:t>
      </w:r>
      <w:r>
        <w:rPr>
          <w:rFonts w:cs="Arial"/>
          <w:sz w:val="22"/>
        </w:rPr>
        <w:t>, совместная российская и иностранная собственность. В 2010 году появилась собственность госуда</w:t>
      </w:r>
      <w:r>
        <w:rPr>
          <w:rFonts w:cs="Arial"/>
          <w:sz w:val="22"/>
        </w:rPr>
        <w:t>р</w:t>
      </w:r>
      <w:r>
        <w:rPr>
          <w:rFonts w:cs="Arial"/>
          <w:sz w:val="22"/>
        </w:rPr>
        <w:t>ственных корпораций.</w:t>
      </w:r>
    </w:p>
    <w:p w:rsidR="000C6EB8" w:rsidRPr="0099163D" w:rsidRDefault="000C6EB8" w:rsidP="000C6EB8">
      <w:pPr>
        <w:pStyle w:val="22"/>
        <w:spacing w:line="240" w:lineRule="auto"/>
        <w:ind w:firstLine="700"/>
        <w:rPr>
          <w:rFonts w:cs="Arial"/>
          <w:sz w:val="22"/>
        </w:rPr>
      </w:pPr>
      <w:r>
        <w:rPr>
          <w:rFonts w:cs="Arial"/>
          <w:sz w:val="22"/>
          <w:lang w:val="en-US"/>
        </w:rPr>
        <w:t>C</w:t>
      </w:r>
      <w:r>
        <w:rPr>
          <w:rFonts w:cs="Arial"/>
          <w:sz w:val="22"/>
        </w:rPr>
        <w:t xml:space="preserve">началом Великой Отечественной войны Ульяновск стал местом, куда эвакуируются различные предприятия, организации и учреждения из западных районов страны, Москвы и Ленинграда. В июле 1941 года сюда прибывает чулочно-трикотажная фабрика им.КИМ из Витебска – первое эвакуированное предприятие, которое уже в конце сентября этого же года  стало выпускать продукцию. В начале 1942 года вступила в строй первая очередь </w:t>
      </w:r>
      <w:proofErr w:type="spellStart"/>
      <w:r>
        <w:rPr>
          <w:rFonts w:cs="Arial"/>
          <w:sz w:val="22"/>
        </w:rPr>
        <w:t>приборо</w:t>
      </w:r>
      <w:proofErr w:type="spellEnd"/>
      <w:proofErr w:type="gramStart"/>
      <w:r>
        <w:rPr>
          <w:rFonts w:cs="Arial"/>
          <w:sz w:val="22"/>
          <w:lang w:val="en-US"/>
        </w:rPr>
        <w:t>c</w:t>
      </w:r>
      <w:proofErr w:type="spellStart"/>
      <w:proofErr w:type="gramEnd"/>
      <w:r>
        <w:rPr>
          <w:rFonts w:cs="Arial"/>
          <w:sz w:val="22"/>
        </w:rPr>
        <w:t>троительного</w:t>
      </w:r>
      <w:proofErr w:type="spellEnd"/>
      <w:r>
        <w:rPr>
          <w:rFonts w:cs="Arial"/>
          <w:sz w:val="22"/>
        </w:rPr>
        <w:t xml:space="preserve"> завода, созданного на базе эвакуированных предприятий из Ленинграда, Москвы и Вязьмы. Самым крупным эвакуированным предприятием</w:t>
      </w:r>
      <w:r w:rsidR="00406629">
        <w:rPr>
          <w:rFonts w:cs="Arial"/>
          <w:sz w:val="22"/>
        </w:rPr>
        <w:t xml:space="preserve"> </w:t>
      </w:r>
      <w:r>
        <w:rPr>
          <w:rFonts w:cs="Arial"/>
          <w:sz w:val="22"/>
        </w:rPr>
        <w:t>в  Ульяновске стал ЗИС (автомобильный завод имени Сталина из Москвы). В октябре 1942 года был пущен главный конвейер этого завода. В 1944 году на базе ряда цехов автозавода был создан  Ульяновский моторный завод.</w:t>
      </w:r>
    </w:p>
    <w:p w:rsidR="000C6EB8" w:rsidRPr="0083330B" w:rsidRDefault="000C6EB8" w:rsidP="000C6EB8">
      <w:pPr>
        <w:ind w:firstLine="709"/>
        <w:jc w:val="both"/>
        <w:rPr>
          <w:rFonts w:ascii="Arial" w:hAnsi="Arial" w:cs="Arial"/>
          <w:sz w:val="22"/>
        </w:rPr>
      </w:pPr>
      <w:proofErr w:type="gramStart"/>
      <w:r>
        <w:rPr>
          <w:rFonts w:ascii="Arial" w:hAnsi="Arial" w:cs="Arial"/>
          <w:sz w:val="22"/>
        </w:rPr>
        <w:t xml:space="preserve">За период с 1943 года по настоящее время промышленными предприятиями и организациями было освоено производство многих новых видов продукции производственно-технического назначения и потребительских товаров: автомобилей (1943 г.), электродвигателей </w:t>
      </w:r>
      <w:r>
        <w:rPr>
          <w:rFonts w:ascii="Arial" w:hAnsi="Arial" w:cs="Arial"/>
          <w:sz w:val="22"/>
        </w:rPr>
        <w:lastRenderedPageBreak/>
        <w:t>переменного тока и хлопчатобумажных тканей в 1945 году, кранов на автомобильном ходу (1950 г.), нетканых материалов (1953 г.), ст</w:t>
      </w:r>
      <w:r>
        <w:rPr>
          <w:rFonts w:ascii="Arial" w:hAnsi="Arial" w:cs="Arial"/>
          <w:sz w:val="22"/>
        </w:rPr>
        <w:t>е</w:t>
      </w:r>
      <w:r>
        <w:rPr>
          <w:rFonts w:ascii="Arial" w:hAnsi="Arial" w:cs="Arial"/>
          <w:sz w:val="22"/>
        </w:rPr>
        <w:t>новых панелей, мебели (1955 г.), приборов, средств автоматизации, цепей пильных, швейных изделий, водки и</w:t>
      </w:r>
      <w:proofErr w:type="gramEnd"/>
      <w:r w:rsidR="00406629">
        <w:rPr>
          <w:rFonts w:ascii="Arial" w:hAnsi="Arial" w:cs="Arial"/>
          <w:sz w:val="22"/>
        </w:rPr>
        <w:t xml:space="preserve"> </w:t>
      </w:r>
      <w:proofErr w:type="gramStart"/>
      <w:r>
        <w:rPr>
          <w:rFonts w:ascii="Arial" w:hAnsi="Arial" w:cs="Arial"/>
          <w:sz w:val="22"/>
        </w:rPr>
        <w:t>ликероводочных изделий, пива (1958 г.), талей электрических, лодочных моторов, ковров и ковровых изделий (1961 г.), нефти, шифера, минеральной ваты и изд</w:t>
      </w:r>
      <w:r>
        <w:rPr>
          <w:rFonts w:ascii="Arial" w:hAnsi="Arial" w:cs="Arial"/>
          <w:sz w:val="22"/>
        </w:rPr>
        <w:t>е</w:t>
      </w:r>
      <w:r>
        <w:rPr>
          <w:rFonts w:ascii="Arial" w:hAnsi="Arial" w:cs="Arial"/>
          <w:sz w:val="22"/>
        </w:rPr>
        <w:t>лий из нее (1962 г.), мягкой кровли (1964 г.), линолеума, сахара-песка (1967 г.), автомобильных двигателей (1970 г.), кранов на гусени</w:t>
      </w:r>
      <w:r>
        <w:rPr>
          <w:rFonts w:ascii="Arial" w:hAnsi="Arial" w:cs="Arial"/>
          <w:sz w:val="22"/>
        </w:rPr>
        <w:t>ч</w:t>
      </w:r>
      <w:r>
        <w:rPr>
          <w:rFonts w:ascii="Arial" w:hAnsi="Arial" w:cs="Arial"/>
          <w:sz w:val="22"/>
        </w:rPr>
        <w:t>ном ходу, минеральной воды (1977 г.), пассажирских и грузовых самолетов (1985 г.), майонеза, консервов молочных (1986 г.), паркета (1990 г.), пленочных</w:t>
      </w:r>
      <w:proofErr w:type="gramEnd"/>
      <w:r>
        <w:rPr>
          <w:rFonts w:ascii="Arial" w:hAnsi="Arial" w:cs="Arial"/>
          <w:sz w:val="22"/>
        </w:rPr>
        <w:t xml:space="preserve"> </w:t>
      </w:r>
      <w:proofErr w:type="gramStart"/>
      <w:r>
        <w:rPr>
          <w:rFonts w:ascii="Arial" w:hAnsi="Arial" w:cs="Arial"/>
          <w:sz w:val="22"/>
        </w:rPr>
        <w:t>материалов</w:t>
      </w:r>
      <w:proofErr w:type="gramEnd"/>
      <w:r>
        <w:rPr>
          <w:rFonts w:ascii="Arial" w:hAnsi="Arial" w:cs="Arial"/>
          <w:sz w:val="22"/>
        </w:rPr>
        <w:t xml:space="preserve"> (</w:t>
      </w:r>
      <w:proofErr w:type="gramStart"/>
      <w:r>
        <w:rPr>
          <w:rFonts w:ascii="Arial" w:hAnsi="Arial" w:cs="Arial"/>
          <w:sz w:val="22"/>
        </w:rPr>
        <w:t xml:space="preserve">1997 г.). </w:t>
      </w:r>
      <w:proofErr w:type="gramEnd"/>
    </w:p>
    <w:p w:rsidR="000C6EB8" w:rsidRDefault="000C6EB8" w:rsidP="000C6EB8">
      <w:pPr>
        <w:ind w:firstLine="709"/>
        <w:jc w:val="both"/>
        <w:rPr>
          <w:rFonts w:ascii="Arial" w:hAnsi="Arial" w:cs="Arial"/>
          <w:sz w:val="22"/>
        </w:rPr>
      </w:pPr>
      <w:proofErr w:type="gramStart"/>
      <w:r>
        <w:rPr>
          <w:rFonts w:ascii="Arial" w:hAnsi="Arial" w:cs="Arial"/>
          <w:sz w:val="22"/>
        </w:rPr>
        <w:t xml:space="preserve">В последующие периоды появились в производстве металлопластиковые окна и двери, аптекарская посуда, бутылки, </w:t>
      </w:r>
      <w:proofErr w:type="spellStart"/>
      <w:r>
        <w:rPr>
          <w:rFonts w:ascii="Arial" w:hAnsi="Arial" w:cs="Arial"/>
          <w:sz w:val="22"/>
        </w:rPr>
        <w:t>водосчетч</w:t>
      </w:r>
      <w:r>
        <w:rPr>
          <w:rFonts w:ascii="Arial" w:hAnsi="Arial" w:cs="Arial"/>
          <w:sz w:val="22"/>
        </w:rPr>
        <w:t>и</w:t>
      </w:r>
      <w:r>
        <w:rPr>
          <w:rFonts w:ascii="Arial" w:hAnsi="Arial" w:cs="Arial"/>
          <w:sz w:val="22"/>
        </w:rPr>
        <w:t>ки</w:t>
      </w:r>
      <w:proofErr w:type="spellEnd"/>
      <w:r>
        <w:rPr>
          <w:rFonts w:ascii="Arial" w:hAnsi="Arial" w:cs="Arial"/>
          <w:sz w:val="22"/>
        </w:rPr>
        <w:t xml:space="preserve"> для холодной воды, грузовые автомобили грузоподъёмностью свыше 3-х тонн, мешки полиэтиленовые и бумажные, пакеты из пол</w:t>
      </w:r>
      <w:r>
        <w:rPr>
          <w:rFonts w:ascii="Arial" w:hAnsi="Arial" w:cs="Arial"/>
          <w:sz w:val="22"/>
        </w:rPr>
        <w:t>и</w:t>
      </w:r>
      <w:r>
        <w:rPr>
          <w:rFonts w:ascii="Arial" w:hAnsi="Arial" w:cs="Arial"/>
          <w:sz w:val="22"/>
        </w:rPr>
        <w:t xml:space="preserve">мерных материалов, трубы и детали трубопроводов из термопластов, котлы отопительные, панели стальные стеновые и кровельные, спреды, растворы строительные (сухие), корма готовые для домашних животных. </w:t>
      </w:r>
      <w:proofErr w:type="gramEnd"/>
    </w:p>
    <w:p w:rsidR="000C6EB8" w:rsidRDefault="000C6EB8" w:rsidP="000C6EB8">
      <w:pPr>
        <w:pStyle w:val="21"/>
        <w:spacing w:line="240" w:lineRule="auto"/>
        <w:ind w:firstLine="709"/>
        <w:jc w:val="both"/>
        <w:rPr>
          <w:rFonts w:cs="Arial"/>
          <w:sz w:val="22"/>
        </w:rPr>
      </w:pPr>
      <w:r w:rsidRPr="00BB2EB0">
        <w:rPr>
          <w:rFonts w:cs="Arial"/>
          <w:sz w:val="22"/>
        </w:rPr>
        <w:t>В послевоенные годы были введены в действие  большинство важнейших предприятий области.  До 1950 года начали свою х</w:t>
      </w:r>
      <w:r w:rsidRPr="00BB2EB0">
        <w:rPr>
          <w:rFonts w:cs="Arial"/>
          <w:sz w:val="22"/>
        </w:rPr>
        <w:t>о</w:t>
      </w:r>
      <w:r w:rsidRPr="00BB2EB0">
        <w:rPr>
          <w:rFonts w:cs="Arial"/>
          <w:sz w:val="22"/>
        </w:rPr>
        <w:t>зяйственную деятельность ООО ПФ «</w:t>
      </w:r>
      <w:proofErr w:type="spellStart"/>
      <w:r w:rsidRPr="00BB2EB0">
        <w:rPr>
          <w:rFonts w:cs="Arial"/>
          <w:sz w:val="22"/>
        </w:rPr>
        <w:t>Инзенский</w:t>
      </w:r>
      <w:proofErr w:type="spellEnd"/>
      <w:r w:rsidRPr="00BB2EB0">
        <w:rPr>
          <w:rFonts w:cs="Arial"/>
          <w:sz w:val="22"/>
        </w:rPr>
        <w:t xml:space="preserve"> ДОЗ», ОАО «Мельница», Ульяновский «Дом печати», ООО УУПП «</w:t>
      </w:r>
      <w:proofErr w:type="spellStart"/>
      <w:r w:rsidRPr="00BB2EB0">
        <w:rPr>
          <w:rFonts w:cs="Arial"/>
          <w:sz w:val="22"/>
        </w:rPr>
        <w:t>Автоконтакт</w:t>
      </w:r>
      <w:proofErr w:type="spellEnd"/>
      <w:r w:rsidRPr="00BB2EB0">
        <w:rPr>
          <w:rFonts w:cs="Arial"/>
          <w:sz w:val="22"/>
        </w:rPr>
        <w:t xml:space="preserve"> ВОС»; </w:t>
      </w:r>
      <w:proofErr w:type="gramStart"/>
      <w:r w:rsidRPr="00BB2EB0">
        <w:rPr>
          <w:rFonts w:cs="Arial"/>
          <w:sz w:val="22"/>
        </w:rPr>
        <w:t xml:space="preserve">с 1950 по 1960 годы – ОАО УКСМ, ОАО УНП </w:t>
      </w:r>
      <w:proofErr w:type="spellStart"/>
      <w:r w:rsidRPr="00BB2EB0">
        <w:rPr>
          <w:rFonts w:cs="Arial"/>
          <w:sz w:val="22"/>
        </w:rPr>
        <w:t>Вторчермет</w:t>
      </w:r>
      <w:proofErr w:type="spellEnd"/>
      <w:r w:rsidRPr="00BB2EB0">
        <w:rPr>
          <w:rFonts w:cs="Arial"/>
          <w:sz w:val="22"/>
        </w:rPr>
        <w:t>, ЗАО «Асфальтобетонный завод», ОАО «Молочный завод», ОАО маслозавод «</w:t>
      </w:r>
      <w:proofErr w:type="spellStart"/>
      <w:r w:rsidRPr="00BB2EB0">
        <w:rPr>
          <w:rFonts w:cs="Arial"/>
          <w:sz w:val="22"/>
        </w:rPr>
        <w:t>Сурский</w:t>
      </w:r>
      <w:proofErr w:type="spellEnd"/>
      <w:r w:rsidRPr="00BB2EB0">
        <w:rPr>
          <w:rFonts w:cs="Arial"/>
          <w:sz w:val="22"/>
        </w:rPr>
        <w:t>», ОАО УЗТС, ООО завод ЖБИ, ОАО «Комета», ОАО «</w:t>
      </w:r>
      <w:proofErr w:type="spellStart"/>
      <w:r w:rsidRPr="00BB2EB0">
        <w:rPr>
          <w:rFonts w:cs="Arial"/>
          <w:sz w:val="22"/>
        </w:rPr>
        <w:t>Радиоламповый</w:t>
      </w:r>
      <w:proofErr w:type="spellEnd"/>
      <w:r w:rsidRPr="00BB2EB0">
        <w:rPr>
          <w:rFonts w:cs="Arial"/>
          <w:sz w:val="22"/>
        </w:rPr>
        <w:t xml:space="preserve"> завод», ОАО «Ульяновскэнерго», с 1960 по 1970 годы – ФГУП «Ульяновский механический завод», ОАО мясокомбинат «Ульяновский», ОАО «</w:t>
      </w:r>
      <w:proofErr w:type="spellStart"/>
      <w:r w:rsidRPr="00BB2EB0">
        <w:rPr>
          <w:rFonts w:cs="Arial"/>
          <w:sz w:val="22"/>
        </w:rPr>
        <w:t>Ульяновскхлебпром</w:t>
      </w:r>
      <w:proofErr w:type="spellEnd"/>
      <w:r w:rsidRPr="00BB2EB0">
        <w:rPr>
          <w:rFonts w:cs="Arial"/>
          <w:sz w:val="22"/>
        </w:rPr>
        <w:t>», ОАО «</w:t>
      </w:r>
      <w:proofErr w:type="spellStart"/>
      <w:r w:rsidRPr="00BB2EB0">
        <w:rPr>
          <w:rFonts w:cs="Arial"/>
          <w:sz w:val="22"/>
        </w:rPr>
        <w:t>Ульяновскшифер</w:t>
      </w:r>
      <w:proofErr w:type="spellEnd"/>
      <w:r w:rsidRPr="00BB2EB0">
        <w:rPr>
          <w:rFonts w:cs="Arial"/>
          <w:sz w:val="22"/>
        </w:rPr>
        <w:t>»</w:t>
      </w:r>
      <w:r>
        <w:rPr>
          <w:rFonts w:cs="Arial"/>
          <w:sz w:val="22"/>
        </w:rPr>
        <w:t>, ОАО «Завод «Искра» (В 70-80х годах он стал одним из крупнейших производителей электронных</w:t>
      </w:r>
      <w:proofErr w:type="gramEnd"/>
      <w:r>
        <w:rPr>
          <w:rFonts w:cs="Arial"/>
          <w:sz w:val="22"/>
        </w:rPr>
        <w:t xml:space="preserve"> приборов, товаров народного потре</w:t>
      </w:r>
      <w:r>
        <w:rPr>
          <w:rFonts w:cs="Arial"/>
          <w:sz w:val="22"/>
        </w:rPr>
        <w:t>б</w:t>
      </w:r>
      <w:r>
        <w:rPr>
          <w:rFonts w:cs="Arial"/>
          <w:sz w:val="22"/>
        </w:rPr>
        <w:t>ления. Завод «Искра» был одним из основных производителей многослойных плат, систем вычислительной техники)</w:t>
      </w:r>
      <w:proofErr w:type="gramStart"/>
      <w:r w:rsidRPr="00BB2EB0">
        <w:rPr>
          <w:rFonts w:cs="Arial"/>
          <w:sz w:val="22"/>
        </w:rPr>
        <w:t>;с</w:t>
      </w:r>
      <w:proofErr w:type="gramEnd"/>
      <w:r w:rsidRPr="00BB2EB0">
        <w:rPr>
          <w:rFonts w:cs="Arial"/>
          <w:sz w:val="22"/>
        </w:rPr>
        <w:t xml:space="preserve"> 1970 по 1980 годы – ОАО «Авиастар» (в настоящее время – ЗАО «Авиастар-СП»</w:t>
      </w:r>
      <w:r>
        <w:rPr>
          <w:rFonts w:cs="Arial"/>
          <w:sz w:val="22"/>
        </w:rPr>
        <w:t>, сегодня это одно из крупнейших производителей авиационной техники в России и странах СНГ</w:t>
      </w:r>
      <w:r w:rsidRPr="00BB2EB0">
        <w:rPr>
          <w:rFonts w:cs="Arial"/>
          <w:sz w:val="22"/>
        </w:rPr>
        <w:t>), ОАО «</w:t>
      </w:r>
      <w:proofErr w:type="spellStart"/>
      <w:r w:rsidRPr="00BB2EB0">
        <w:rPr>
          <w:rFonts w:cs="Arial"/>
          <w:sz w:val="22"/>
        </w:rPr>
        <w:t>Ульяновскнефть</w:t>
      </w:r>
      <w:proofErr w:type="spellEnd"/>
      <w:r w:rsidRPr="00BB2EB0">
        <w:rPr>
          <w:rFonts w:cs="Arial"/>
          <w:sz w:val="22"/>
        </w:rPr>
        <w:t>», ОАО «</w:t>
      </w:r>
      <w:proofErr w:type="spellStart"/>
      <w:r w:rsidRPr="00BB2EB0">
        <w:rPr>
          <w:rFonts w:cs="Arial"/>
          <w:sz w:val="22"/>
        </w:rPr>
        <w:t>Гидроаппарат</w:t>
      </w:r>
      <w:proofErr w:type="spellEnd"/>
      <w:r w:rsidRPr="00BB2EB0">
        <w:rPr>
          <w:rFonts w:cs="Arial"/>
          <w:sz w:val="22"/>
        </w:rPr>
        <w:t xml:space="preserve">», ОАО кондитерская фабрика «Волжанка» (в настоящее время – </w:t>
      </w:r>
      <w:proofErr w:type="spellStart"/>
      <w:r w:rsidRPr="00BB2EB0">
        <w:rPr>
          <w:rFonts w:cs="Arial"/>
          <w:sz w:val="22"/>
        </w:rPr>
        <w:t>Фл</w:t>
      </w:r>
      <w:proofErr w:type="spellEnd"/>
      <w:r w:rsidRPr="00BB2EB0">
        <w:rPr>
          <w:rFonts w:cs="Arial"/>
          <w:sz w:val="22"/>
        </w:rPr>
        <w:t xml:space="preserve"> ОАО «</w:t>
      </w:r>
      <w:proofErr w:type="spellStart"/>
      <w:r>
        <w:rPr>
          <w:rFonts w:cs="Arial"/>
          <w:sz w:val="22"/>
        </w:rPr>
        <w:t>Оркла</w:t>
      </w:r>
      <w:proofErr w:type="spellEnd"/>
      <w:r>
        <w:rPr>
          <w:rFonts w:cs="Arial"/>
          <w:sz w:val="22"/>
        </w:rPr>
        <w:t xml:space="preserve"> Брэнд Россия» - кондитерская фабрика «Сладко</w:t>
      </w:r>
      <w:r w:rsidRPr="00BB2EB0">
        <w:rPr>
          <w:rFonts w:cs="Arial"/>
          <w:sz w:val="22"/>
        </w:rPr>
        <w:t xml:space="preserve">», ОАО «Гидравлик», ОАО «Милан», </w:t>
      </w:r>
      <w:proofErr w:type="gramStart"/>
      <w:r w:rsidRPr="00BB2EB0">
        <w:rPr>
          <w:rFonts w:cs="Arial"/>
          <w:sz w:val="22"/>
        </w:rPr>
        <w:t>с 1980 по 1990 годы – ОАО ПК «В</w:t>
      </w:r>
      <w:r w:rsidRPr="00BB2EB0">
        <w:rPr>
          <w:rFonts w:cs="Arial"/>
          <w:sz w:val="22"/>
        </w:rPr>
        <w:t>и</w:t>
      </w:r>
      <w:r w:rsidRPr="00BB2EB0">
        <w:rPr>
          <w:rFonts w:cs="Arial"/>
          <w:sz w:val="22"/>
        </w:rPr>
        <w:t xml:space="preserve">тязь», ОАО </w:t>
      </w:r>
      <w:proofErr w:type="spellStart"/>
      <w:r w:rsidRPr="00BB2EB0">
        <w:rPr>
          <w:rFonts w:cs="Arial"/>
          <w:sz w:val="22"/>
        </w:rPr>
        <w:t>Криушинский</w:t>
      </w:r>
      <w:proofErr w:type="spellEnd"/>
      <w:r w:rsidRPr="00BB2EB0">
        <w:rPr>
          <w:rFonts w:cs="Arial"/>
          <w:sz w:val="22"/>
        </w:rPr>
        <w:t xml:space="preserve"> судостроительно-судоремонтный завод, </w:t>
      </w:r>
      <w:r>
        <w:rPr>
          <w:rFonts w:cs="Arial"/>
          <w:sz w:val="22"/>
        </w:rPr>
        <w:t xml:space="preserve">с 1990 года  по 2000 </w:t>
      </w:r>
      <w:r w:rsidRPr="00BB2EB0">
        <w:rPr>
          <w:rFonts w:cs="Arial"/>
          <w:sz w:val="22"/>
        </w:rPr>
        <w:t xml:space="preserve"> год – ООО Ульяновский молочный комбинат «З</w:t>
      </w:r>
      <w:r w:rsidRPr="00BB2EB0">
        <w:rPr>
          <w:rFonts w:cs="Arial"/>
          <w:sz w:val="22"/>
        </w:rPr>
        <w:t>а</w:t>
      </w:r>
      <w:r w:rsidRPr="00BB2EB0">
        <w:rPr>
          <w:rFonts w:cs="Arial"/>
          <w:sz w:val="22"/>
        </w:rPr>
        <w:t>волжский», ООО «</w:t>
      </w:r>
      <w:proofErr w:type="spellStart"/>
      <w:r w:rsidRPr="00BB2EB0">
        <w:rPr>
          <w:rFonts w:cs="Arial"/>
          <w:sz w:val="22"/>
        </w:rPr>
        <w:t>Стройпластмасс</w:t>
      </w:r>
      <w:proofErr w:type="spellEnd"/>
      <w:r w:rsidRPr="00BB2EB0">
        <w:rPr>
          <w:rFonts w:cs="Arial"/>
          <w:sz w:val="22"/>
        </w:rPr>
        <w:t xml:space="preserve"> – СП», ЗАО «Мебельная компания «Авиастар – мебель», ООО «Мебельный комбинат «Виктория», ООО Ульяновский завод «</w:t>
      </w:r>
      <w:proofErr w:type="spellStart"/>
      <w:r w:rsidRPr="00BB2EB0">
        <w:rPr>
          <w:rFonts w:cs="Arial"/>
          <w:sz w:val="22"/>
        </w:rPr>
        <w:t>Алтайталь</w:t>
      </w:r>
      <w:proofErr w:type="spellEnd"/>
      <w:r w:rsidRPr="00BB2EB0">
        <w:rPr>
          <w:rFonts w:cs="Arial"/>
          <w:sz w:val="22"/>
        </w:rPr>
        <w:t>», ОАО Ульяновский патронный завод», ЗАО «Алев» и другие предприятия.</w:t>
      </w:r>
      <w:proofErr w:type="gramEnd"/>
    </w:p>
    <w:p w:rsidR="000C6EB8" w:rsidRPr="00E0491D" w:rsidRDefault="000C6EB8" w:rsidP="000C6EB8">
      <w:pPr>
        <w:pStyle w:val="21"/>
        <w:spacing w:line="240" w:lineRule="auto"/>
        <w:ind w:firstLine="709"/>
        <w:jc w:val="both"/>
        <w:rPr>
          <w:rFonts w:cs="Arial"/>
          <w:sz w:val="22"/>
        </w:rPr>
      </w:pPr>
      <w:r>
        <w:rPr>
          <w:rFonts w:cs="Arial"/>
          <w:sz w:val="22"/>
        </w:rPr>
        <w:t xml:space="preserve">В последние годы в область пришли крупнейшие мировые производители: компания </w:t>
      </w:r>
      <w:r>
        <w:rPr>
          <w:rFonts w:cs="Arial"/>
          <w:sz w:val="22"/>
          <w:lang w:val="en-US"/>
        </w:rPr>
        <w:t>SABMiller</w:t>
      </w:r>
      <w:r>
        <w:rPr>
          <w:rFonts w:cs="Arial"/>
          <w:sz w:val="22"/>
        </w:rPr>
        <w:t xml:space="preserve"> построила свой пивоваренный з</w:t>
      </w:r>
      <w:r>
        <w:rPr>
          <w:rFonts w:cs="Arial"/>
          <w:sz w:val="22"/>
        </w:rPr>
        <w:t>а</w:t>
      </w:r>
      <w:r>
        <w:rPr>
          <w:rFonts w:cs="Arial"/>
          <w:sz w:val="22"/>
        </w:rPr>
        <w:t>вод, появились филиал</w:t>
      </w:r>
      <w:proofErr w:type="gramStart"/>
      <w:r>
        <w:rPr>
          <w:rFonts w:cs="Arial"/>
          <w:sz w:val="22"/>
        </w:rPr>
        <w:t>ы ООО</w:t>
      </w:r>
      <w:proofErr w:type="gramEnd"/>
      <w:r>
        <w:rPr>
          <w:rFonts w:cs="Arial"/>
          <w:sz w:val="22"/>
        </w:rPr>
        <w:t xml:space="preserve"> «Марс»  производящие корма  для животных и кондитерские изделия. «</w:t>
      </w:r>
      <w:proofErr w:type="spellStart"/>
      <w:r>
        <w:rPr>
          <w:rFonts w:cs="Arial"/>
          <w:sz w:val="22"/>
        </w:rPr>
        <w:t>ХенкельБаутех</w:t>
      </w:r>
      <w:proofErr w:type="spellEnd"/>
      <w:r>
        <w:rPr>
          <w:rFonts w:cs="Arial"/>
          <w:sz w:val="22"/>
        </w:rPr>
        <w:t>» открыл завод по производству сухих строительных смесей. Открылись такие предприятия, как  ООО «</w:t>
      </w:r>
      <w:proofErr w:type="spellStart"/>
      <w:r>
        <w:rPr>
          <w:rFonts w:cs="Arial"/>
          <w:sz w:val="22"/>
        </w:rPr>
        <w:t>Таката</w:t>
      </w:r>
      <w:proofErr w:type="spellEnd"/>
      <w:r>
        <w:rPr>
          <w:rFonts w:cs="Arial"/>
          <w:sz w:val="22"/>
        </w:rPr>
        <w:t xml:space="preserve"> Рус» производящие части и принадлежности для автотранспортных средств, ЗАО «СОЛЛЕРС-ИСУЗУ» - шасси для грузовых автомобилей, ООО «БАУ Мотор Корпорэйшн» - грузовые автомобили и автобусы.</w:t>
      </w:r>
    </w:p>
    <w:p w:rsidR="000C6EB8" w:rsidRDefault="000C6EB8" w:rsidP="000C6EB8">
      <w:pPr>
        <w:pStyle w:val="21"/>
        <w:spacing w:line="240" w:lineRule="auto"/>
        <w:ind w:firstLine="709"/>
        <w:jc w:val="both"/>
        <w:rPr>
          <w:rFonts w:cs="Arial"/>
          <w:sz w:val="22"/>
        </w:rPr>
      </w:pPr>
      <w:r>
        <w:rPr>
          <w:rFonts w:cs="Arial"/>
          <w:sz w:val="22"/>
        </w:rPr>
        <w:t>Промышленное производство играет важную роль в экономике Ульяновской области. Предприятия и организации, работающие в данной сфере, вносят заметный вклад в формирование валового регионального продукта, прибыли, инвестиционных поступлений и др</w:t>
      </w:r>
      <w:r>
        <w:rPr>
          <w:rFonts w:cs="Arial"/>
          <w:sz w:val="22"/>
        </w:rPr>
        <w:t>у</w:t>
      </w:r>
      <w:r>
        <w:rPr>
          <w:rFonts w:cs="Arial"/>
          <w:sz w:val="22"/>
        </w:rPr>
        <w:t>гих значимых экономических показателей.</w:t>
      </w:r>
    </w:p>
    <w:p w:rsidR="000C6EB8" w:rsidRDefault="000C6EB8" w:rsidP="000C6EB8">
      <w:pPr>
        <w:pStyle w:val="21"/>
        <w:spacing w:line="240" w:lineRule="auto"/>
        <w:ind w:firstLine="709"/>
        <w:jc w:val="both"/>
        <w:rPr>
          <w:rFonts w:cs="Arial"/>
          <w:sz w:val="22"/>
        </w:rPr>
      </w:pPr>
      <w:r>
        <w:rPr>
          <w:rFonts w:cs="Arial"/>
          <w:sz w:val="22"/>
        </w:rPr>
        <w:t xml:space="preserve">Прошедший 2011 год свидетельствует о стабилизации социально-экономической обстановки в регионе. Основной показатель успешного развития промышленного сектора экономики  - индекс промышленного производства. В 2011 году индекс промышленного производства по сравнению с  2010 годом вырос  на 9,6% (по России – на 4,7%, по ПФО – 8,5%). </w:t>
      </w:r>
    </w:p>
    <w:p w:rsidR="000C6EB8" w:rsidRDefault="000C6EB8" w:rsidP="000C6EB8">
      <w:pPr>
        <w:pStyle w:val="21"/>
        <w:spacing w:line="240" w:lineRule="auto"/>
        <w:ind w:firstLine="709"/>
        <w:jc w:val="both"/>
        <w:rPr>
          <w:rFonts w:cs="Arial"/>
          <w:sz w:val="22"/>
        </w:rPr>
      </w:pPr>
      <w:r>
        <w:rPr>
          <w:rFonts w:cs="Arial"/>
          <w:sz w:val="22"/>
        </w:rPr>
        <w:t>Рост промышленного производства в 2011 году  в большей степени обусловлен увеличением объемов обрабатывающих прои</w:t>
      </w:r>
      <w:r>
        <w:rPr>
          <w:rFonts w:cs="Arial"/>
          <w:sz w:val="22"/>
        </w:rPr>
        <w:t>з</w:t>
      </w:r>
      <w:r>
        <w:rPr>
          <w:rFonts w:cs="Arial"/>
          <w:sz w:val="22"/>
        </w:rPr>
        <w:t>водств  (на 21,0%), как имеющих наибольшую долю в структуре промышленного производства региона. Индекс промышленного прои</w:t>
      </w:r>
      <w:r>
        <w:rPr>
          <w:rFonts w:cs="Arial"/>
          <w:sz w:val="22"/>
        </w:rPr>
        <w:t>з</w:t>
      </w:r>
      <w:r>
        <w:rPr>
          <w:rFonts w:cs="Arial"/>
          <w:sz w:val="22"/>
        </w:rPr>
        <w:t>водства по данному виду деятельности за 2011 год составил 111,3 процента (по России -.106,5%, по ПФО – 102,0%).</w:t>
      </w:r>
    </w:p>
    <w:p w:rsidR="000C6EB8" w:rsidRDefault="000C6EB8" w:rsidP="000C6EB8">
      <w:pPr>
        <w:pStyle w:val="21"/>
        <w:spacing w:line="240" w:lineRule="auto"/>
        <w:ind w:firstLine="709"/>
        <w:jc w:val="both"/>
        <w:rPr>
          <w:rFonts w:cs="Arial"/>
          <w:sz w:val="22"/>
        </w:rPr>
      </w:pPr>
      <w:r>
        <w:rPr>
          <w:rFonts w:cs="Arial"/>
          <w:sz w:val="22"/>
        </w:rPr>
        <w:lastRenderedPageBreak/>
        <w:t xml:space="preserve"> В обрабатывающих производствах по подавляющему числу видов экономической деятельности (кроме текстильного и швейного производства,  производства кожи, изделий из кожи и производства обуви,  целлюлозно-бумажного производства; издательской и пол</w:t>
      </w:r>
      <w:r>
        <w:rPr>
          <w:rFonts w:cs="Arial"/>
          <w:sz w:val="22"/>
        </w:rPr>
        <w:t>и</w:t>
      </w:r>
      <w:r>
        <w:rPr>
          <w:rFonts w:cs="Arial"/>
          <w:sz w:val="22"/>
        </w:rPr>
        <w:t>графической деятельности и химического производства) индекс производства превысил 100%.</w:t>
      </w:r>
    </w:p>
    <w:p w:rsidR="000C6EB8" w:rsidRDefault="000C6EB8" w:rsidP="000C6EB8">
      <w:pPr>
        <w:pStyle w:val="21"/>
        <w:spacing w:line="240" w:lineRule="auto"/>
        <w:ind w:firstLine="709"/>
        <w:jc w:val="center"/>
        <w:rPr>
          <w:rFonts w:cs="Arial"/>
          <w:b/>
          <w:sz w:val="22"/>
        </w:rPr>
      </w:pPr>
    </w:p>
    <w:p w:rsidR="000C6EB8" w:rsidRDefault="000C6EB8" w:rsidP="000C6EB8">
      <w:pPr>
        <w:pStyle w:val="21"/>
        <w:spacing w:line="240" w:lineRule="auto"/>
        <w:ind w:firstLine="709"/>
        <w:jc w:val="center"/>
        <w:rPr>
          <w:rFonts w:cs="Arial"/>
          <w:b/>
          <w:sz w:val="22"/>
        </w:rPr>
      </w:pPr>
      <w:r w:rsidRPr="00C72B9E">
        <w:rPr>
          <w:rFonts w:cs="Arial"/>
          <w:b/>
          <w:sz w:val="22"/>
        </w:rPr>
        <w:t>П</w:t>
      </w:r>
      <w:r>
        <w:rPr>
          <w:rFonts w:cs="Arial"/>
          <w:b/>
          <w:sz w:val="22"/>
        </w:rPr>
        <w:t>РОИЗВОДСТВО ОТДЕЛЬНЫХ ВИДОВ ПРОМЫШЛЕННОЙ ПРОДУКЦИИ</w:t>
      </w:r>
    </w:p>
    <w:p w:rsidR="000C6EB8" w:rsidRDefault="000C6EB8" w:rsidP="000C6EB8">
      <w:pPr>
        <w:pStyle w:val="21"/>
        <w:spacing w:line="240" w:lineRule="auto"/>
        <w:ind w:firstLine="709"/>
        <w:jc w:val="center"/>
        <w:rPr>
          <w:rFonts w:cs="Arial"/>
          <w:b/>
          <w:sz w:val="22"/>
        </w:rPr>
      </w:pPr>
    </w:p>
    <w:tbl>
      <w:tblPr>
        <w:tblStyle w:val="afc"/>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802"/>
        <w:gridCol w:w="1671"/>
        <w:gridCol w:w="1672"/>
        <w:gridCol w:w="1672"/>
        <w:gridCol w:w="1671"/>
        <w:gridCol w:w="1672"/>
        <w:gridCol w:w="1672"/>
        <w:gridCol w:w="1672"/>
      </w:tblGrid>
      <w:tr w:rsidR="000C6EB8" w:rsidRPr="00A64749" w:rsidTr="00A64749">
        <w:tc>
          <w:tcPr>
            <w:tcW w:w="2802"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p>
        </w:tc>
        <w:tc>
          <w:tcPr>
            <w:tcW w:w="1671"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r w:rsidRPr="00A64749">
              <w:rPr>
                <w:rFonts w:cs="Arial"/>
                <w:sz w:val="18"/>
                <w:szCs w:val="18"/>
              </w:rPr>
              <w:t>1960</w:t>
            </w:r>
          </w:p>
        </w:tc>
        <w:tc>
          <w:tcPr>
            <w:tcW w:w="1672"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r w:rsidRPr="00A64749">
              <w:rPr>
                <w:rFonts w:cs="Arial"/>
                <w:sz w:val="18"/>
                <w:szCs w:val="18"/>
              </w:rPr>
              <w:t>1970</w:t>
            </w:r>
          </w:p>
        </w:tc>
        <w:tc>
          <w:tcPr>
            <w:tcW w:w="1672"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r w:rsidRPr="00A64749">
              <w:rPr>
                <w:rFonts w:cs="Arial"/>
                <w:sz w:val="18"/>
                <w:szCs w:val="18"/>
              </w:rPr>
              <w:t>1980</w:t>
            </w:r>
          </w:p>
        </w:tc>
        <w:tc>
          <w:tcPr>
            <w:tcW w:w="1671"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r w:rsidRPr="00A64749">
              <w:rPr>
                <w:rFonts w:cs="Arial"/>
                <w:sz w:val="18"/>
                <w:szCs w:val="18"/>
              </w:rPr>
              <w:t>1990</w:t>
            </w:r>
          </w:p>
        </w:tc>
        <w:tc>
          <w:tcPr>
            <w:tcW w:w="1672"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r w:rsidRPr="00A64749">
              <w:rPr>
                <w:rFonts w:cs="Arial"/>
                <w:sz w:val="18"/>
                <w:szCs w:val="18"/>
              </w:rPr>
              <w:t>2000</w:t>
            </w:r>
          </w:p>
        </w:tc>
        <w:tc>
          <w:tcPr>
            <w:tcW w:w="1672"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r w:rsidRPr="00A64749">
              <w:rPr>
                <w:rFonts w:cs="Arial"/>
                <w:sz w:val="18"/>
                <w:szCs w:val="18"/>
              </w:rPr>
              <w:t>2005</w:t>
            </w:r>
          </w:p>
        </w:tc>
        <w:tc>
          <w:tcPr>
            <w:tcW w:w="1672" w:type="dxa"/>
            <w:shd w:val="clear" w:color="auto" w:fill="C6D9F1" w:themeFill="text2" w:themeFillTint="33"/>
          </w:tcPr>
          <w:p w:rsidR="000C6EB8" w:rsidRPr="00A64749" w:rsidRDefault="000C6EB8" w:rsidP="00A64749">
            <w:pPr>
              <w:pStyle w:val="21"/>
              <w:spacing w:before="60" w:after="60" w:line="240" w:lineRule="auto"/>
              <w:jc w:val="center"/>
              <w:rPr>
                <w:rFonts w:cs="Arial"/>
                <w:sz w:val="18"/>
                <w:szCs w:val="18"/>
              </w:rPr>
            </w:pPr>
            <w:r w:rsidRPr="00A64749">
              <w:rPr>
                <w:rFonts w:cs="Arial"/>
                <w:sz w:val="18"/>
                <w:szCs w:val="18"/>
              </w:rPr>
              <w:t>2011</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Автомобили – всего, тыс. штук</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31,5</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75,2</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97</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107</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84,9</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68,8</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65,3</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Металлорежущие станки, штук</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2944</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2584</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1814</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1106</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103</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66</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31</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Пиломатериалы, тыс. куб</w:t>
            </w:r>
            <w:proofErr w:type="gramStart"/>
            <w:r w:rsidRPr="00A64749">
              <w:rPr>
                <w:rFonts w:cs="Arial"/>
                <w:sz w:val="18"/>
                <w:szCs w:val="18"/>
              </w:rPr>
              <w:t>.м</w:t>
            </w:r>
            <w:proofErr w:type="gramEnd"/>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555</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707</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500,4</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414,5</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168,2</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150,4</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188,2</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Сборные железобетонные конструкции и изделия, тыс. куб</w:t>
            </w:r>
            <w:proofErr w:type="gramStart"/>
            <w:r w:rsidRPr="00A64749">
              <w:rPr>
                <w:rFonts w:cs="Arial"/>
                <w:sz w:val="18"/>
                <w:szCs w:val="18"/>
              </w:rPr>
              <w:t>.м</w:t>
            </w:r>
            <w:proofErr w:type="gramEnd"/>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64,8</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329,1</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634,2</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1138,5</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242,9</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224,6</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195,2</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Чулочно-носочные изделия, млн. пар</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16,0</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23,2</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30,4</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63,3</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15,7</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1,7</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9,1</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Колбасные изделия, тыс. тонн</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3,3</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10,3</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9,0</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20,9</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4,3</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15,5</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9,4</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Цельномолочная продукция в пересчете на молоко, тыс. тонн</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29,9</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75,8</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128,0</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171,5</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56,0</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42,5</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99,4</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Масла растительные, тонн</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397</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99</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28</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1534</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6916</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2779</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9509,8</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Кондитерские изделия, тыс. тонн</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4,4</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5,7</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29,7</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45,3</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38,9</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64,0</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46,4</w:t>
            </w:r>
          </w:p>
        </w:tc>
      </w:tr>
      <w:tr w:rsidR="000C6EB8" w:rsidRPr="00A64749" w:rsidTr="00A64749">
        <w:tc>
          <w:tcPr>
            <w:tcW w:w="2802" w:type="dxa"/>
          </w:tcPr>
          <w:p w:rsidR="000C6EB8" w:rsidRPr="00A64749" w:rsidRDefault="000C6EB8" w:rsidP="00A64749">
            <w:pPr>
              <w:pStyle w:val="21"/>
              <w:spacing w:before="60" w:after="60" w:line="240" w:lineRule="auto"/>
              <w:rPr>
                <w:rFonts w:cs="Arial"/>
                <w:sz w:val="18"/>
                <w:szCs w:val="18"/>
              </w:rPr>
            </w:pPr>
            <w:r w:rsidRPr="00A64749">
              <w:rPr>
                <w:rFonts w:cs="Arial"/>
                <w:sz w:val="18"/>
                <w:szCs w:val="18"/>
              </w:rPr>
              <w:t>Мука, тыс. тонн</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290,6</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385,6</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271,6</w:t>
            </w:r>
          </w:p>
        </w:tc>
        <w:tc>
          <w:tcPr>
            <w:tcW w:w="1671"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233,4</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213,1</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65,2</w:t>
            </w:r>
          </w:p>
        </w:tc>
        <w:tc>
          <w:tcPr>
            <w:tcW w:w="1672" w:type="dxa"/>
            <w:vAlign w:val="bottom"/>
          </w:tcPr>
          <w:p w:rsidR="000C6EB8" w:rsidRPr="00A64749" w:rsidRDefault="000C6EB8" w:rsidP="00A64749">
            <w:pPr>
              <w:pStyle w:val="21"/>
              <w:spacing w:before="60" w:after="60" w:line="240" w:lineRule="auto"/>
              <w:ind w:right="429"/>
              <w:jc w:val="right"/>
              <w:rPr>
                <w:rFonts w:cs="Arial"/>
                <w:sz w:val="18"/>
                <w:szCs w:val="18"/>
              </w:rPr>
            </w:pPr>
            <w:r w:rsidRPr="00A64749">
              <w:rPr>
                <w:rFonts w:cs="Arial"/>
                <w:sz w:val="18"/>
                <w:szCs w:val="18"/>
              </w:rPr>
              <w:t>110,6</w:t>
            </w:r>
          </w:p>
        </w:tc>
      </w:tr>
    </w:tbl>
    <w:p w:rsidR="000C6EB8" w:rsidRPr="005D17EB" w:rsidRDefault="000C6EB8" w:rsidP="000C6EB8">
      <w:pPr>
        <w:pStyle w:val="21"/>
        <w:spacing w:line="240" w:lineRule="auto"/>
        <w:ind w:firstLine="709"/>
        <w:jc w:val="center"/>
        <w:rPr>
          <w:rFonts w:cs="Arial"/>
          <w:b/>
          <w:sz w:val="22"/>
        </w:rPr>
      </w:pPr>
    </w:p>
    <w:p w:rsidR="000C6EB8" w:rsidRPr="002C016E" w:rsidRDefault="000C6EB8" w:rsidP="000C6EB8">
      <w:pPr>
        <w:pStyle w:val="aa"/>
        <w:pageBreakBefore/>
        <w:spacing w:line="240" w:lineRule="auto"/>
        <w:rPr>
          <w:rFonts w:cs="Arial"/>
          <w:sz w:val="22"/>
        </w:rPr>
      </w:pPr>
      <w:r>
        <w:rPr>
          <w:rFonts w:cs="Arial"/>
          <w:sz w:val="22"/>
        </w:rPr>
        <w:lastRenderedPageBreak/>
        <w:t xml:space="preserve">Производством и распределением электроэнергии, газа и воды,  из общего числа  промышленных предприятий,  было занято 14,1% организаций. Предприятия и организации этого вида деятельности  в 2011 году отгрузили товаров собственного производства на сумму  24783,8 млн. рублей, что выше уровня 2010 года на 1,8 процента. Индекс производства по итогам года составил 103,1%, что больше, чем по ПФО (102,0%) и по России (100,1%). </w:t>
      </w:r>
    </w:p>
    <w:p w:rsidR="000C6EB8" w:rsidRPr="0048229F" w:rsidRDefault="000C6EB8" w:rsidP="000C6EB8">
      <w:pPr>
        <w:pStyle w:val="aa"/>
        <w:spacing w:line="240" w:lineRule="auto"/>
        <w:rPr>
          <w:rFonts w:cs="Arial"/>
          <w:sz w:val="22"/>
        </w:rPr>
      </w:pPr>
      <w:r>
        <w:rPr>
          <w:rFonts w:cs="Arial"/>
          <w:sz w:val="22"/>
        </w:rPr>
        <w:t xml:space="preserve">Выработка электроэнергии возросла  в 2011 году по сравнению с предыдущим годом  на 2,8 процента и составила 3294,9 млн. </w:t>
      </w:r>
      <w:proofErr w:type="spellStart"/>
      <w:r>
        <w:rPr>
          <w:rFonts w:cs="Arial"/>
          <w:sz w:val="22"/>
        </w:rPr>
        <w:t>кВт</w:t>
      </w:r>
      <w:proofErr w:type="gramStart"/>
      <w:r>
        <w:rPr>
          <w:rFonts w:cs="Arial"/>
          <w:sz w:val="22"/>
        </w:rPr>
        <w:t>.ч</w:t>
      </w:r>
      <w:proofErr w:type="gramEnd"/>
      <w:r>
        <w:rPr>
          <w:rFonts w:cs="Arial"/>
          <w:sz w:val="22"/>
        </w:rPr>
        <w:t>ас</w:t>
      </w:r>
      <w:proofErr w:type="spellEnd"/>
      <w:r>
        <w:rPr>
          <w:rFonts w:cs="Arial"/>
          <w:sz w:val="22"/>
        </w:rPr>
        <w:t xml:space="preserve">,  производство </w:t>
      </w:r>
      <w:proofErr w:type="spellStart"/>
      <w:r>
        <w:rPr>
          <w:rFonts w:cs="Arial"/>
          <w:sz w:val="22"/>
        </w:rPr>
        <w:t>теплоэнергии</w:t>
      </w:r>
      <w:proofErr w:type="spellEnd"/>
      <w:r>
        <w:rPr>
          <w:rFonts w:cs="Arial"/>
          <w:sz w:val="22"/>
        </w:rPr>
        <w:t xml:space="preserve"> увеличилось на 2,9 процента. Индекс производства по виду деятельности «Добыча полезных иск</w:t>
      </w:r>
      <w:r>
        <w:rPr>
          <w:rFonts w:cs="Arial"/>
          <w:sz w:val="22"/>
        </w:rPr>
        <w:t>о</w:t>
      </w:r>
      <w:r>
        <w:rPr>
          <w:rFonts w:cs="Arial"/>
          <w:sz w:val="22"/>
        </w:rPr>
        <w:t>паемых» в 2011 году составил 104,9 процента (по России – 101,9%, ПФО – 103,4%). Добыча топливно-энергетических полезных ископа</w:t>
      </w:r>
      <w:r>
        <w:rPr>
          <w:rFonts w:cs="Arial"/>
          <w:sz w:val="22"/>
        </w:rPr>
        <w:t>е</w:t>
      </w:r>
      <w:r>
        <w:rPr>
          <w:rFonts w:cs="Arial"/>
          <w:sz w:val="22"/>
        </w:rPr>
        <w:t xml:space="preserve">мых увеличилась на </w:t>
      </w:r>
      <w:r w:rsidRPr="00EE41E7">
        <w:rPr>
          <w:rFonts w:cs="Arial"/>
          <w:sz w:val="22"/>
        </w:rPr>
        <w:t>2</w:t>
      </w:r>
      <w:r>
        <w:rPr>
          <w:rFonts w:cs="Arial"/>
          <w:sz w:val="22"/>
        </w:rPr>
        <w:t>,</w:t>
      </w:r>
      <w:r w:rsidRPr="00EE41E7">
        <w:rPr>
          <w:rFonts w:cs="Arial"/>
          <w:sz w:val="22"/>
        </w:rPr>
        <w:t>9</w:t>
      </w:r>
      <w:r>
        <w:rPr>
          <w:rFonts w:cs="Arial"/>
          <w:sz w:val="22"/>
        </w:rPr>
        <w:t xml:space="preserve">% за счет роста добычи нефти. Добыча полезных ископаемых, кроме топливно-энергетических, выросла на </w:t>
      </w:r>
      <w:r w:rsidRPr="00C45DDB">
        <w:rPr>
          <w:rFonts w:cs="Arial"/>
          <w:sz w:val="22"/>
        </w:rPr>
        <w:t xml:space="preserve"> 26</w:t>
      </w:r>
      <w:r>
        <w:rPr>
          <w:rFonts w:cs="Arial"/>
          <w:sz w:val="22"/>
        </w:rPr>
        <w:t>,</w:t>
      </w:r>
      <w:r w:rsidRPr="00C45DDB">
        <w:rPr>
          <w:rFonts w:cs="Arial"/>
          <w:sz w:val="22"/>
        </w:rPr>
        <w:t>9</w:t>
      </w:r>
      <w:r>
        <w:rPr>
          <w:rFonts w:cs="Arial"/>
          <w:sz w:val="22"/>
        </w:rPr>
        <w:t>% в результате увеличения объемов добычи песка природного.</w:t>
      </w:r>
    </w:p>
    <w:p w:rsidR="000C6EB8" w:rsidRPr="0040471E" w:rsidRDefault="000C6EB8" w:rsidP="000C6EB8">
      <w:pPr>
        <w:pStyle w:val="aa"/>
        <w:spacing w:line="240" w:lineRule="auto"/>
        <w:rPr>
          <w:sz w:val="22"/>
          <w:szCs w:val="22"/>
        </w:rPr>
      </w:pPr>
    </w:p>
    <w:p w:rsidR="000C6EB8" w:rsidRPr="00F80A90" w:rsidRDefault="000C6EB8" w:rsidP="000C6EB8">
      <w:pPr>
        <w:pStyle w:val="aa"/>
        <w:spacing w:line="240" w:lineRule="auto"/>
        <w:jc w:val="center"/>
        <w:rPr>
          <w:rFonts w:cs="Arial"/>
          <w:b/>
          <w:sz w:val="22"/>
        </w:rPr>
      </w:pPr>
      <w:r w:rsidRPr="00F80A90">
        <w:rPr>
          <w:rFonts w:cs="Arial"/>
          <w:b/>
          <w:sz w:val="22"/>
        </w:rPr>
        <w:t xml:space="preserve">ДИНАМИКА ПРОМЫШЛЕННОГО ПРОИЗВОДСТВА  ПО ВИДАМ ЭКОНОМИЧЕСКОЙ ДЕЯТЕЛЬНОСТИ </w:t>
      </w:r>
    </w:p>
    <w:p w:rsidR="000C6EB8" w:rsidRPr="00A64749" w:rsidRDefault="000C6EB8" w:rsidP="000C6EB8">
      <w:pPr>
        <w:pStyle w:val="aa"/>
        <w:spacing w:line="240" w:lineRule="auto"/>
        <w:jc w:val="center"/>
        <w:rPr>
          <w:rFonts w:cs="Arial"/>
          <w:sz w:val="22"/>
        </w:rPr>
      </w:pPr>
      <w:r w:rsidRPr="00A64749">
        <w:rPr>
          <w:rFonts w:cs="Arial"/>
          <w:sz w:val="22"/>
        </w:rPr>
        <w:t>(в  процентах  к предыдущему году)</w:t>
      </w:r>
    </w:p>
    <w:p w:rsidR="000C6EB8" w:rsidRDefault="000C6EB8" w:rsidP="000C6EB8">
      <w:pPr>
        <w:jc w:val="center"/>
      </w:pPr>
      <w:r w:rsidRPr="00BA6713">
        <w:rPr>
          <w:noProof/>
        </w:rPr>
        <w:drawing>
          <wp:inline distT="0" distB="0" distL="0" distR="0">
            <wp:extent cx="9000958" cy="3965809"/>
            <wp:effectExtent l="38100" t="19050" r="9692" b="0"/>
            <wp:docPr id="7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A6713" w:rsidRDefault="00BA6713">
      <w:pPr>
        <w:rPr>
          <w:rFonts w:ascii="Arial" w:hAnsi="Arial"/>
          <w:b/>
          <w:caps/>
          <w:kern w:val="28"/>
          <w:sz w:val="24"/>
        </w:rPr>
      </w:pPr>
      <w:r>
        <w:rPr>
          <w:rFonts w:ascii="Arial" w:hAnsi="Arial"/>
          <w:b/>
          <w:caps/>
          <w:kern w:val="28"/>
          <w:sz w:val="24"/>
        </w:rPr>
        <w:br w:type="page"/>
      </w:r>
    </w:p>
    <w:p w:rsidR="000C6EB8" w:rsidRDefault="000C6EB8" w:rsidP="000C6EB8">
      <w:pPr>
        <w:spacing w:before="120"/>
        <w:jc w:val="center"/>
        <w:rPr>
          <w:rFonts w:ascii="Arial" w:hAnsi="Arial"/>
          <w:b/>
          <w:caps/>
          <w:kern w:val="28"/>
          <w:sz w:val="24"/>
        </w:rPr>
      </w:pPr>
      <w:r w:rsidRPr="00A64749">
        <w:rPr>
          <w:rFonts w:ascii="Arial" w:hAnsi="Arial"/>
          <w:b/>
          <w:caps/>
          <w:kern w:val="28"/>
          <w:sz w:val="24"/>
        </w:rPr>
        <w:lastRenderedPageBreak/>
        <w:t>О</w:t>
      </w:r>
      <w:r w:rsidRPr="00D270FC">
        <w:rPr>
          <w:rFonts w:ascii="Arial" w:hAnsi="Arial"/>
          <w:b/>
          <w:caps/>
          <w:kern w:val="28"/>
          <w:sz w:val="24"/>
        </w:rPr>
        <w:t>ДИН ДЕНЬ ПРОМЫШЛЕННОСТИ ОБЛАСТИ</w:t>
      </w:r>
    </w:p>
    <w:p w:rsidR="000C6EB8" w:rsidRPr="00A64749" w:rsidRDefault="000C6EB8" w:rsidP="000C6EB8">
      <w:pPr>
        <w:jc w:val="center"/>
        <w:rPr>
          <w:rFonts w:ascii="Arial" w:hAnsi="Arial" w:cs="Arial"/>
          <w:sz w:val="22"/>
          <w:szCs w:val="22"/>
        </w:rPr>
      </w:pPr>
      <w:r w:rsidRPr="00A64749">
        <w:rPr>
          <w:rFonts w:ascii="Arial" w:hAnsi="Arial"/>
          <w:caps/>
          <w:kern w:val="28"/>
          <w:sz w:val="22"/>
          <w:szCs w:val="22"/>
        </w:rPr>
        <w:t>(</w:t>
      </w:r>
      <w:r w:rsidRPr="00A64749">
        <w:rPr>
          <w:rFonts w:ascii="Arial" w:hAnsi="Arial" w:cs="Arial"/>
          <w:sz w:val="22"/>
          <w:szCs w:val="22"/>
        </w:rPr>
        <w:t>в среднем за сутки исходя из календарного числа дней в году)</w:t>
      </w:r>
    </w:p>
    <w:p w:rsidR="000C6EB8" w:rsidRDefault="000C6EB8" w:rsidP="000C6EB8">
      <w:pPr>
        <w:jc w:val="center"/>
        <w:rPr>
          <w:rFonts w:ascii="Arial" w:hAnsi="Arial" w:cs="Arial"/>
          <w:b/>
          <w:sz w:val="22"/>
        </w:rPr>
      </w:pPr>
    </w:p>
    <w:tbl>
      <w:tblPr>
        <w:tblStyle w:val="-12"/>
        <w:tblW w:w="0" w:type="auto"/>
        <w:tblLook w:val="04A0" w:firstRow="1" w:lastRow="0" w:firstColumn="1" w:lastColumn="0" w:noHBand="0" w:noVBand="1"/>
      </w:tblPr>
      <w:tblGrid>
        <w:gridCol w:w="2518"/>
        <w:gridCol w:w="1498"/>
        <w:gridCol w:w="1498"/>
        <w:gridCol w:w="1498"/>
        <w:gridCol w:w="1499"/>
        <w:gridCol w:w="1498"/>
        <w:gridCol w:w="1498"/>
        <w:gridCol w:w="1498"/>
        <w:gridCol w:w="1499"/>
      </w:tblGrid>
      <w:tr w:rsidR="00473B30" w:rsidTr="00A647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top w:val="single" w:sz="8" w:space="0" w:color="4F81BD" w:themeColor="accent1"/>
            </w:tcBorders>
            <w:shd w:val="clear" w:color="auto" w:fill="C6D9F1" w:themeFill="text2" w:themeFillTint="33"/>
          </w:tcPr>
          <w:p w:rsidR="000C6EB8" w:rsidRDefault="000C6EB8" w:rsidP="00F74768">
            <w:pPr>
              <w:tabs>
                <w:tab w:val="left" w:pos="6452"/>
              </w:tabs>
              <w:spacing w:before="60" w:after="60"/>
              <w:rPr>
                <w:rFonts w:cs="Arial"/>
                <w:b/>
              </w:rPr>
            </w:pPr>
          </w:p>
        </w:tc>
        <w:tc>
          <w:tcPr>
            <w:tcW w:w="1498"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005A0A">
              <w:rPr>
                <w:rFonts w:cs="Arial"/>
              </w:rPr>
              <w:t>1950</w:t>
            </w:r>
          </w:p>
        </w:tc>
        <w:tc>
          <w:tcPr>
            <w:tcW w:w="1498"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sidRPr="00005A0A">
              <w:rPr>
                <w:rFonts w:cs="Arial"/>
              </w:rPr>
              <w:t>1960</w:t>
            </w:r>
          </w:p>
        </w:tc>
        <w:tc>
          <w:tcPr>
            <w:tcW w:w="1498"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1970</w:t>
            </w:r>
          </w:p>
        </w:tc>
        <w:tc>
          <w:tcPr>
            <w:tcW w:w="1499"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1980</w:t>
            </w:r>
          </w:p>
        </w:tc>
        <w:tc>
          <w:tcPr>
            <w:tcW w:w="1498"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1990</w:t>
            </w:r>
          </w:p>
        </w:tc>
        <w:tc>
          <w:tcPr>
            <w:tcW w:w="1498"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2000</w:t>
            </w:r>
          </w:p>
        </w:tc>
        <w:tc>
          <w:tcPr>
            <w:tcW w:w="1498"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2005</w:t>
            </w:r>
          </w:p>
        </w:tc>
        <w:tc>
          <w:tcPr>
            <w:tcW w:w="1499" w:type="dxa"/>
            <w:tcBorders>
              <w:top w:val="single" w:sz="8" w:space="0" w:color="4F81BD" w:themeColor="accent1"/>
            </w:tcBorders>
            <w:shd w:val="clear" w:color="auto" w:fill="C6D9F1" w:themeFill="text2" w:themeFillTint="33"/>
          </w:tcPr>
          <w:p w:rsidR="000C6EB8" w:rsidRPr="00005A0A" w:rsidRDefault="000C6EB8" w:rsidP="00F74768">
            <w:pPr>
              <w:tabs>
                <w:tab w:val="left" w:pos="6452"/>
              </w:tabs>
              <w:spacing w:before="60" w:after="60"/>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2011</w:t>
            </w:r>
          </w:p>
        </w:tc>
      </w:tr>
      <w:tr w:rsidR="000C6EB8" w:rsidRPr="00473B30" w:rsidTr="00F747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4" w:type="dxa"/>
            <w:gridSpan w:val="9"/>
          </w:tcPr>
          <w:p w:rsidR="000C6EB8" w:rsidRPr="00473B30" w:rsidRDefault="000C6EB8" w:rsidP="00F74768">
            <w:pPr>
              <w:tabs>
                <w:tab w:val="left" w:pos="6452"/>
              </w:tabs>
              <w:spacing w:before="60" w:after="60"/>
              <w:jc w:val="center"/>
              <w:rPr>
                <w:rFonts w:cs="Arial"/>
                <w:b w:val="0"/>
              </w:rPr>
            </w:pPr>
            <w:r w:rsidRPr="00473B30">
              <w:rPr>
                <w:rFonts w:cs="Arial"/>
                <w:b w:val="0"/>
              </w:rPr>
              <w:t>Производство отдельных видов промышленной продукции</w:t>
            </w:r>
          </w:p>
        </w:tc>
      </w:tr>
      <w:tr w:rsidR="000C6EB8" w:rsidRPr="00473B30" w:rsidTr="00A64749">
        <w:tc>
          <w:tcPr>
            <w:cnfStyle w:val="001000000000" w:firstRow="0" w:lastRow="0" w:firstColumn="1" w:lastColumn="0" w:oddVBand="0" w:evenVBand="0" w:oddHBand="0" w:evenHBand="0" w:firstRowFirstColumn="0" w:firstRowLastColumn="0" w:lastRowFirstColumn="0" w:lastRowLastColumn="0"/>
            <w:tcW w:w="2518" w:type="dxa"/>
          </w:tcPr>
          <w:p w:rsidR="000C6EB8" w:rsidRPr="00473B30" w:rsidRDefault="000C6EB8" w:rsidP="00F74768">
            <w:pPr>
              <w:tabs>
                <w:tab w:val="left" w:pos="6452"/>
              </w:tabs>
              <w:spacing w:before="60" w:after="60"/>
              <w:rPr>
                <w:rFonts w:cs="Arial"/>
                <w:b w:val="0"/>
              </w:rPr>
            </w:pPr>
            <w:r w:rsidRPr="00473B30">
              <w:rPr>
                <w:rFonts w:cs="Arial"/>
                <w:b w:val="0"/>
              </w:rPr>
              <w:t xml:space="preserve">Электроэнергия, млн. </w:t>
            </w:r>
            <w:proofErr w:type="spellStart"/>
            <w:r w:rsidRPr="00473B30">
              <w:rPr>
                <w:rFonts w:cs="Arial"/>
                <w:b w:val="0"/>
              </w:rPr>
              <w:t>квт</w:t>
            </w:r>
            <w:proofErr w:type="gramStart"/>
            <w:r w:rsidRPr="00473B30">
              <w:rPr>
                <w:rFonts w:cs="Arial"/>
                <w:b w:val="0"/>
              </w:rPr>
              <w:t>.ч</w:t>
            </w:r>
            <w:proofErr w:type="gramEnd"/>
            <w:r w:rsidRPr="00473B30">
              <w:rPr>
                <w:rFonts w:cs="Arial"/>
                <w:b w:val="0"/>
              </w:rPr>
              <w:t>ас</w:t>
            </w:r>
            <w:proofErr w:type="spellEnd"/>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0,5</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1,5</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0,6</w:t>
            </w:r>
          </w:p>
        </w:tc>
        <w:tc>
          <w:tcPr>
            <w:tcW w:w="1499"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3,9</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10,7</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5,6</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10,2</w:t>
            </w:r>
          </w:p>
        </w:tc>
        <w:tc>
          <w:tcPr>
            <w:tcW w:w="1499"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9,0</w:t>
            </w:r>
          </w:p>
        </w:tc>
      </w:tr>
      <w:tr w:rsidR="000C6EB8" w:rsidRPr="00473B30" w:rsidTr="00A64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0C6EB8" w:rsidRPr="00473B30" w:rsidRDefault="000C6EB8" w:rsidP="00F74768">
            <w:pPr>
              <w:tabs>
                <w:tab w:val="left" w:pos="6452"/>
              </w:tabs>
              <w:spacing w:before="60" w:after="60"/>
              <w:rPr>
                <w:rFonts w:cs="Arial"/>
                <w:b w:val="0"/>
              </w:rPr>
            </w:pPr>
            <w:r w:rsidRPr="00473B30">
              <w:rPr>
                <w:rFonts w:cs="Arial"/>
                <w:b w:val="0"/>
              </w:rPr>
              <w:t>Пиломатериалы, тыс</w:t>
            </w:r>
            <w:proofErr w:type="gramStart"/>
            <w:r w:rsidRPr="00473B30">
              <w:rPr>
                <w:rFonts w:cs="Arial"/>
                <w:b w:val="0"/>
              </w:rPr>
              <w:t>.к</w:t>
            </w:r>
            <w:proofErr w:type="gramEnd"/>
            <w:r w:rsidRPr="00473B30">
              <w:rPr>
                <w:rFonts w:cs="Arial"/>
                <w:b w:val="0"/>
              </w:rPr>
              <w:t>уб.м</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0,9</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1,5</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1,0</w:t>
            </w:r>
          </w:p>
        </w:tc>
        <w:tc>
          <w:tcPr>
            <w:tcW w:w="1499"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1,4</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1,1</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0,4</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0,4</w:t>
            </w:r>
          </w:p>
        </w:tc>
        <w:tc>
          <w:tcPr>
            <w:tcW w:w="1499"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0,5</w:t>
            </w:r>
          </w:p>
        </w:tc>
      </w:tr>
      <w:tr w:rsidR="000C6EB8" w:rsidRPr="00473B30" w:rsidTr="00A64749">
        <w:tc>
          <w:tcPr>
            <w:cnfStyle w:val="001000000000" w:firstRow="0" w:lastRow="0" w:firstColumn="1" w:lastColumn="0" w:oddVBand="0" w:evenVBand="0" w:oddHBand="0" w:evenHBand="0" w:firstRowFirstColumn="0" w:firstRowLastColumn="0" w:lastRowFirstColumn="0" w:lastRowLastColumn="0"/>
            <w:tcW w:w="2518" w:type="dxa"/>
          </w:tcPr>
          <w:p w:rsidR="000C6EB8" w:rsidRPr="00473B30" w:rsidRDefault="000C6EB8" w:rsidP="00F74768">
            <w:pPr>
              <w:tabs>
                <w:tab w:val="left" w:pos="6452"/>
              </w:tabs>
              <w:spacing w:before="60" w:after="60"/>
              <w:rPr>
                <w:rFonts w:cs="Arial"/>
                <w:b w:val="0"/>
              </w:rPr>
            </w:pPr>
            <w:r w:rsidRPr="00473B30">
              <w:rPr>
                <w:rFonts w:cs="Arial"/>
                <w:b w:val="0"/>
              </w:rPr>
              <w:t>Сборные железобетонные конструкции и изделия, тыс. куб</w:t>
            </w:r>
            <w:proofErr w:type="gramStart"/>
            <w:r w:rsidRPr="00473B30">
              <w:rPr>
                <w:rFonts w:cs="Arial"/>
                <w:b w:val="0"/>
              </w:rPr>
              <w:t>.м</w:t>
            </w:r>
            <w:proofErr w:type="gramEnd"/>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0,2</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0,9</w:t>
            </w:r>
          </w:p>
        </w:tc>
        <w:tc>
          <w:tcPr>
            <w:tcW w:w="1499"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1,7</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3,1</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0,7</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0,6</w:t>
            </w:r>
          </w:p>
        </w:tc>
        <w:tc>
          <w:tcPr>
            <w:tcW w:w="1499"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0,5</w:t>
            </w:r>
          </w:p>
        </w:tc>
      </w:tr>
      <w:tr w:rsidR="000C6EB8" w:rsidRPr="00473B30" w:rsidTr="00A64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0C6EB8" w:rsidRPr="00473B30" w:rsidRDefault="000C6EB8" w:rsidP="00F74768">
            <w:pPr>
              <w:tabs>
                <w:tab w:val="left" w:pos="6452"/>
              </w:tabs>
              <w:spacing w:before="60" w:after="60"/>
              <w:rPr>
                <w:rFonts w:cs="Arial"/>
                <w:b w:val="0"/>
              </w:rPr>
            </w:pPr>
            <w:r w:rsidRPr="00473B30">
              <w:rPr>
                <w:rFonts w:cs="Arial"/>
                <w:b w:val="0"/>
              </w:rPr>
              <w:t>Чулочно-носочные изд</w:t>
            </w:r>
            <w:r w:rsidRPr="00473B30">
              <w:rPr>
                <w:rFonts w:cs="Arial"/>
                <w:b w:val="0"/>
              </w:rPr>
              <w:t>е</w:t>
            </w:r>
            <w:r w:rsidRPr="00473B30">
              <w:rPr>
                <w:rFonts w:cs="Arial"/>
                <w:b w:val="0"/>
              </w:rPr>
              <w:t>лия, тыс. пар</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29,9</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43,8</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63,6</w:t>
            </w:r>
          </w:p>
        </w:tc>
        <w:tc>
          <w:tcPr>
            <w:tcW w:w="1499"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83,1</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173,4</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43</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1,7</w:t>
            </w:r>
          </w:p>
        </w:tc>
        <w:tc>
          <w:tcPr>
            <w:tcW w:w="1499"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25</w:t>
            </w:r>
          </w:p>
        </w:tc>
      </w:tr>
      <w:tr w:rsidR="000C6EB8" w:rsidRPr="00473B30" w:rsidTr="00A64749">
        <w:tc>
          <w:tcPr>
            <w:cnfStyle w:val="001000000000" w:firstRow="0" w:lastRow="0" w:firstColumn="1" w:lastColumn="0" w:oddVBand="0" w:evenVBand="0" w:oddHBand="0" w:evenHBand="0" w:firstRowFirstColumn="0" w:firstRowLastColumn="0" w:lastRowFirstColumn="0" w:lastRowLastColumn="0"/>
            <w:tcW w:w="2518" w:type="dxa"/>
          </w:tcPr>
          <w:p w:rsidR="000C6EB8" w:rsidRPr="00473B30" w:rsidRDefault="000C6EB8" w:rsidP="00F74768">
            <w:pPr>
              <w:tabs>
                <w:tab w:val="left" w:pos="6452"/>
              </w:tabs>
              <w:spacing w:before="60" w:after="60"/>
              <w:rPr>
                <w:rFonts w:cs="Arial"/>
                <w:b w:val="0"/>
              </w:rPr>
            </w:pPr>
            <w:r w:rsidRPr="00473B30">
              <w:rPr>
                <w:rFonts w:cs="Arial"/>
                <w:b w:val="0"/>
              </w:rPr>
              <w:t>Колбасные изделия, тонн</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3</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9</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28</w:t>
            </w:r>
          </w:p>
        </w:tc>
        <w:tc>
          <w:tcPr>
            <w:tcW w:w="1499"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25</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57</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11,7</w:t>
            </w:r>
          </w:p>
        </w:tc>
        <w:tc>
          <w:tcPr>
            <w:tcW w:w="1498"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42,3</w:t>
            </w:r>
          </w:p>
        </w:tc>
        <w:tc>
          <w:tcPr>
            <w:tcW w:w="1499" w:type="dxa"/>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25,7</w:t>
            </w:r>
          </w:p>
        </w:tc>
      </w:tr>
      <w:tr w:rsidR="000C6EB8" w:rsidRPr="00473B30" w:rsidTr="00A64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0C6EB8" w:rsidRPr="00473B30" w:rsidRDefault="000C6EB8" w:rsidP="00F74768">
            <w:pPr>
              <w:tabs>
                <w:tab w:val="left" w:pos="6452"/>
              </w:tabs>
              <w:spacing w:before="60" w:after="60"/>
              <w:rPr>
                <w:rFonts w:cs="Arial"/>
                <w:b w:val="0"/>
              </w:rPr>
            </w:pPr>
            <w:r w:rsidRPr="00473B30">
              <w:rPr>
                <w:rFonts w:cs="Arial"/>
                <w:b w:val="0"/>
              </w:rPr>
              <w:t>Цельномолочная проду</w:t>
            </w:r>
            <w:r w:rsidRPr="00473B30">
              <w:rPr>
                <w:rFonts w:cs="Arial"/>
                <w:b w:val="0"/>
              </w:rPr>
              <w:t>к</w:t>
            </w:r>
            <w:r w:rsidRPr="00473B30">
              <w:rPr>
                <w:rFonts w:cs="Arial"/>
                <w:b w:val="0"/>
              </w:rPr>
              <w:t>ция в пересчете на мол</w:t>
            </w:r>
            <w:r w:rsidRPr="00473B30">
              <w:rPr>
                <w:rFonts w:cs="Arial"/>
                <w:b w:val="0"/>
              </w:rPr>
              <w:t>о</w:t>
            </w:r>
            <w:r w:rsidRPr="00473B30">
              <w:rPr>
                <w:rFonts w:cs="Arial"/>
                <w:b w:val="0"/>
              </w:rPr>
              <w:t>ко, тонн</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82</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208</w:t>
            </w:r>
          </w:p>
        </w:tc>
        <w:tc>
          <w:tcPr>
            <w:tcW w:w="1499"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336</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470</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153</w:t>
            </w:r>
          </w:p>
        </w:tc>
        <w:tc>
          <w:tcPr>
            <w:tcW w:w="1498"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116,4</w:t>
            </w:r>
          </w:p>
        </w:tc>
        <w:tc>
          <w:tcPr>
            <w:tcW w:w="1499" w:type="dxa"/>
            <w:vAlign w:val="bottom"/>
          </w:tcPr>
          <w:p w:rsidR="000C6EB8" w:rsidRPr="00473B30" w:rsidRDefault="000C6EB8" w:rsidP="00A64749">
            <w:pPr>
              <w:tabs>
                <w:tab w:val="left" w:pos="6452"/>
              </w:tabs>
              <w:spacing w:before="60" w:after="60"/>
              <w:ind w:right="398"/>
              <w:jc w:val="right"/>
              <w:cnfStyle w:val="000000100000" w:firstRow="0" w:lastRow="0" w:firstColumn="0" w:lastColumn="0" w:oddVBand="0" w:evenVBand="0" w:oddHBand="1" w:evenHBand="0" w:firstRowFirstColumn="0" w:firstRowLastColumn="0" w:lastRowFirstColumn="0" w:lastRowLastColumn="0"/>
              <w:rPr>
                <w:rFonts w:cs="Arial"/>
              </w:rPr>
            </w:pPr>
            <w:r w:rsidRPr="00473B30">
              <w:rPr>
                <w:rFonts w:cs="Arial"/>
              </w:rPr>
              <w:t>272,4</w:t>
            </w:r>
          </w:p>
        </w:tc>
      </w:tr>
      <w:tr w:rsidR="000C6EB8" w:rsidRPr="00473B30" w:rsidTr="00A64749">
        <w:tc>
          <w:tcPr>
            <w:cnfStyle w:val="001000000000" w:firstRow="0" w:lastRow="0" w:firstColumn="1" w:lastColumn="0" w:oddVBand="0" w:evenVBand="0" w:oddHBand="0" w:evenHBand="0" w:firstRowFirstColumn="0" w:firstRowLastColumn="0" w:lastRowFirstColumn="0" w:lastRowLastColumn="0"/>
            <w:tcW w:w="2518" w:type="dxa"/>
            <w:tcBorders>
              <w:bottom w:val="single" w:sz="8" w:space="0" w:color="4F81BD" w:themeColor="accent1"/>
            </w:tcBorders>
          </w:tcPr>
          <w:p w:rsidR="000C6EB8" w:rsidRPr="00473B30" w:rsidRDefault="000C6EB8" w:rsidP="00F74768">
            <w:pPr>
              <w:tabs>
                <w:tab w:val="left" w:pos="6452"/>
              </w:tabs>
              <w:spacing w:before="60" w:after="60"/>
              <w:rPr>
                <w:rFonts w:cs="Arial"/>
                <w:b w:val="0"/>
              </w:rPr>
            </w:pPr>
            <w:r w:rsidRPr="00473B30">
              <w:rPr>
                <w:rFonts w:cs="Arial"/>
                <w:b w:val="0"/>
              </w:rPr>
              <w:t>Кондитерские изделия, тонн</w:t>
            </w:r>
          </w:p>
        </w:tc>
        <w:tc>
          <w:tcPr>
            <w:tcW w:w="1498"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3</w:t>
            </w:r>
          </w:p>
        </w:tc>
        <w:tc>
          <w:tcPr>
            <w:tcW w:w="1498"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12</w:t>
            </w:r>
          </w:p>
        </w:tc>
        <w:tc>
          <w:tcPr>
            <w:tcW w:w="1498"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16</w:t>
            </w:r>
          </w:p>
        </w:tc>
        <w:tc>
          <w:tcPr>
            <w:tcW w:w="1499"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81</w:t>
            </w:r>
          </w:p>
        </w:tc>
        <w:tc>
          <w:tcPr>
            <w:tcW w:w="1498"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124</w:t>
            </w:r>
          </w:p>
        </w:tc>
        <w:tc>
          <w:tcPr>
            <w:tcW w:w="1498"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106,3</w:t>
            </w:r>
          </w:p>
        </w:tc>
        <w:tc>
          <w:tcPr>
            <w:tcW w:w="1498"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175,3</w:t>
            </w:r>
          </w:p>
        </w:tc>
        <w:tc>
          <w:tcPr>
            <w:tcW w:w="1499" w:type="dxa"/>
            <w:tcBorders>
              <w:bottom w:val="single" w:sz="8" w:space="0" w:color="4F81BD" w:themeColor="accent1"/>
            </w:tcBorders>
            <w:vAlign w:val="bottom"/>
          </w:tcPr>
          <w:p w:rsidR="000C6EB8" w:rsidRPr="00473B30" w:rsidRDefault="000C6EB8" w:rsidP="00A64749">
            <w:pPr>
              <w:tabs>
                <w:tab w:val="left" w:pos="6452"/>
              </w:tabs>
              <w:spacing w:before="60" w:after="60"/>
              <w:ind w:right="398"/>
              <w:jc w:val="right"/>
              <w:cnfStyle w:val="000000000000" w:firstRow="0" w:lastRow="0" w:firstColumn="0" w:lastColumn="0" w:oddVBand="0" w:evenVBand="0" w:oddHBand="0" w:evenHBand="0" w:firstRowFirstColumn="0" w:firstRowLastColumn="0" w:lastRowFirstColumn="0" w:lastRowLastColumn="0"/>
              <w:rPr>
                <w:rFonts w:cs="Arial"/>
              </w:rPr>
            </w:pPr>
            <w:r w:rsidRPr="00473B30">
              <w:rPr>
                <w:rFonts w:cs="Arial"/>
              </w:rPr>
              <w:t>127,2</w:t>
            </w:r>
          </w:p>
        </w:tc>
      </w:tr>
    </w:tbl>
    <w:p w:rsidR="000C6EB8" w:rsidRDefault="000C6EB8" w:rsidP="000C6EB8">
      <w:pPr>
        <w:pStyle w:val="aa"/>
        <w:spacing w:line="240" w:lineRule="auto"/>
        <w:rPr>
          <w:caps/>
          <w:kern w:val="28"/>
          <w:sz w:val="24"/>
          <w:lang w:val="en-US"/>
        </w:rPr>
      </w:pPr>
    </w:p>
    <w:p w:rsidR="000C6EB8" w:rsidRPr="0040471E" w:rsidRDefault="000C6EB8" w:rsidP="000C6EB8">
      <w:pPr>
        <w:pStyle w:val="aa"/>
        <w:spacing w:line="240" w:lineRule="auto"/>
        <w:rPr>
          <w:sz w:val="22"/>
          <w:szCs w:val="22"/>
        </w:rPr>
      </w:pPr>
      <w:r w:rsidRPr="002C016E">
        <w:rPr>
          <w:rFonts w:cs="Arial"/>
          <w:sz w:val="22"/>
        </w:rPr>
        <w:t>Развитие промышленного производства невозможно без значительных финансовых вложений:  модерниз</w:t>
      </w:r>
      <w:r>
        <w:rPr>
          <w:rFonts w:cs="Arial"/>
          <w:sz w:val="22"/>
        </w:rPr>
        <w:t>ации</w:t>
      </w:r>
      <w:r>
        <w:rPr>
          <w:sz w:val="22"/>
          <w:szCs w:val="22"/>
        </w:rPr>
        <w:t xml:space="preserve"> технологий, замены изношенного оборудования, создания дополнительных рабочих мест и привлечения высококвалифицированных кадров. В 2011 году на крупные и средние промышленные предприятия было направлено 13569,8 млн. рублей инвестиций в основной капитал, что на 7,0</w:t>
      </w:r>
      <w:r w:rsidR="00B02E51">
        <w:rPr>
          <w:sz w:val="22"/>
          <w:szCs w:val="22"/>
        </w:rPr>
        <w:t>%</w:t>
      </w:r>
      <w:r>
        <w:rPr>
          <w:sz w:val="22"/>
          <w:szCs w:val="22"/>
        </w:rPr>
        <w:t xml:space="preserve"> больше, чем в 2010 году. В структуре инвестиций  производства промышленных видов деятельности наибольший удельный вес заним</w:t>
      </w:r>
      <w:r>
        <w:rPr>
          <w:sz w:val="22"/>
          <w:szCs w:val="22"/>
        </w:rPr>
        <w:t>а</w:t>
      </w:r>
      <w:r>
        <w:rPr>
          <w:sz w:val="22"/>
          <w:szCs w:val="22"/>
        </w:rPr>
        <w:t xml:space="preserve">ют обрабатывающие производства 74,4%.  </w:t>
      </w:r>
    </w:p>
    <w:p w:rsidR="000C6EB8" w:rsidRPr="0040471E" w:rsidRDefault="000C6EB8" w:rsidP="000C6EB8">
      <w:pPr>
        <w:pStyle w:val="aa"/>
        <w:spacing w:line="240" w:lineRule="auto"/>
        <w:rPr>
          <w:sz w:val="22"/>
          <w:szCs w:val="22"/>
        </w:rPr>
      </w:pPr>
    </w:p>
    <w:p w:rsidR="00B34036" w:rsidRPr="00A07702" w:rsidRDefault="00B34036" w:rsidP="001753B5">
      <w:pPr>
        <w:pStyle w:val="aa"/>
        <w:spacing w:line="240" w:lineRule="auto"/>
        <w:rPr>
          <w:rFonts w:cs="Arial"/>
          <w:sz w:val="22"/>
          <w:szCs w:val="22"/>
        </w:rPr>
      </w:pPr>
    </w:p>
    <w:p w:rsidR="00A97E1C" w:rsidRDefault="00A97E1C">
      <w:pPr>
        <w:pStyle w:val="21"/>
        <w:spacing w:line="240" w:lineRule="auto"/>
        <w:ind w:firstLine="720"/>
        <w:jc w:val="both"/>
        <w:rPr>
          <w:rFonts w:cs="Arial"/>
          <w:color w:val="FF0000"/>
          <w:sz w:val="22"/>
        </w:rPr>
      </w:pPr>
    </w:p>
    <w:p w:rsidR="00436049" w:rsidRDefault="00436049">
      <w:pPr>
        <w:rPr>
          <w:rFonts w:ascii="Arial" w:hAnsi="Arial"/>
          <w:b/>
          <w:i/>
          <w:caps/>
          <w:kern w:val="28"/>
          <w:sz w:val="24"/>
        </w:rPr>
      </w:pPr>
      <w:bookmarkStart w:id="24" w:name="_Toc479394589"/>
      <w:r>
        <w:br w:type="page"/>
      </w:r>
    </w:p>
    <w:p w:rsidR="009D6CD2" w:rsidRPr="00B37742" w:rsidRDefault="009D6CD2" w:rsidP="009D6CD2">
      <w:pPr>
        <w:pStyle w:val="1"/>
        <w:rPr>
          <w:color w:val="548DD4" w:themeColor="text2" w:themeTint="99"/>
        </w:rPr>
      </w:pPr>
      <w:bookmarkStart w:id="25" w:name="_Toc309826893"/>
      <w:bookmarkEnd w:id="24"/>
      <w:r w:rsidRPr="00B37742">
        <w:rPr>
          <w:color w:val="548DD4" w:themeColor="text2" w:themeTint="99"/>
        </w:rPr>
        <w:lastRenderedPageBreak/>
        <w:t>СЕЛЬСКОЕ ХОЗЯЙСТВО</w:t>
      </w:r>
      <w:bookmarkEnd w:id="25"/>
    </w:p>
    <w:p w:rsidR="009D6CD2" w:rsidRPr="00C82CD1" w:rsidRDefault="009D6CD2" w:rsidP="009D6CD2">
      <w:pPr>
        <w:pStyle w:val="aa"/>
        <w:spacing w:before="120" w:line="240" w:lineRule="auto"/>
        <w:ind w:firstLine="0"/>
        <w:rPr>
          <w:rFonts w:cs="Arial"/>
          <w:sz w:val="22"/>
        </w:rPr>
      </w:pPr>
      <w:r>
        <w:rPr>
          <w:rFonts w:cs="Arial"/>
          <w:noProof/>
          <w:sz w:val="22"/>
        </w:rPr>
        <w:drawing>
          <wp:anchor distT="0" distB="0" distL="114300" distR="114300" simplePos="0" relativeHeight="251765760" behindDoc="0" locked="0" layoutInCell="1" allowOverlap="1">
            <wp:simplePos x="0" y="0"/>
            <wp:positionH relativeFrom="column">
              <wp:posOffset>44450</wp:posOffset>
            </wp:positionH>
            <wp:positionV relativeFrom="paragraph">
              <wp:posOffset>71120</wp:posOffset>
            </wp:positionV>
            <wp:extent cx="1425575" cy="1222375"/>
            <wp:effectExtent l="19050" t="0" r="3175" b="0"/>
            <wp:wrapSquare wrapText="bothSides"/>
            <wp:docPr id="80" name="Рисунок 67" descr="с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1.jpg"/>
                    <pic:cNvPicPr/>
                  </pic:nvPicPr>
                  <pic:blipFill>
                    <a:blip r:embed="rId42"/>
                    <a:stretch>
                      <a:fillRect/>
                    </a:stretch>
                  </pic:blipFill>
                  <pic:spPr>
                    <a:xfrm>
                      <a:off x="0" y="0"/>
                      <a:ext cx="1425575" cy="1222375"/>
                    </a:xfrm>
                    <a:prstGeom prst="rect">
                      <a:avLst/>
                    </a:prstGeom>
                  </pic:spPr>
                </pic:pic>
              </a:graphicData>
            </a:graphic>
          </wp:anchor>
        </w:drawing>
      </w:r>
      <w:r>
        <w:rPr>
          <w:rFonts w:cs="Arial"/>
          <w:sz w:val="22"/>
        </w:rPr>
        <w:t>Отечественная война не могла не сказаться на состоянии сельского хозяйства Ульяновской области</w:t>
      </w:r>
      <w:r w:rsidRPr="00C82CD1">
        <w:rPr>
          <w:rFonts w:cs="Arial"/>
          <w:sz w:val="22"/>
        </w:rPr>
        <w:t>. Необход</w:t>
      </w:r>
      <w:r w:rsidRPr="00C82CD1">
        <w:rPr>
          <w:rFonts w:cs="Arial"/>
          <w:sz w:val="22"/>
        </w:rPr>
        <w:t>и</w:t>
      </w:r>
      <w:r w:rsidRPr="00C82CD1">
        <w:rPr>
          <w:rFonts w:cs="Arial"/>
          <w:sz w:val="22"/>
        </w:rPr>
        <w:t>мость обеспечения бе</w:t>
      </w:r>
      <w:r w:rsidRPr="00C82CD1">
        <w:rPr>
          <w:rFonts w:cs="Arial"/>
          <w:sz w:val="22"/>
        </w:rPr>
        <w:t>с</w:t>
      </w:r>
      <w:r w:rsidRPr="00C82CD1">
        <w:rPr>
          <w:rFonts w:cs="Arial"/>
          <w:sz w:val="22"/>
        </w:rPr>
        <w:t>перебойного снабжения армии продовольствием в  наибольшей степени повлияла на уровень производства сельскохозяйственной пр</w:t>
      </w:r>
      <w:r w:rsidRPr="00C82CD1">
        <w:rPr>
          <w:rFonts w:cs="Arial"/>
          <w:sz w:val="22"/>
        </w:rPr>
        <w:t>о</w:t>
      </w:r>
      <w:r w:rsidRPr="00C82CD1">
        <w:rPr>
          <w:rFonts w:cs="Arial"/>
          <w:sz w:val="22"/>
        </w:rPr>
        <w:t xml:space="preserve">дукции. В сложные военные годы огромными усилиями сельчан продукции производилось и отправлялось в закрома Родины не меньше, чем в предвоенные годы.  </w:t>
      </w:r>
    </w:p>
    <w:p w:rsidR="009D6CD2" w:rsidRDefault="009D6CD2" w:rsidP="009D6CD2">
      <w:pPr>
        <w:tabs>
          <w:tab w:val="left" w:pos="10915"/>
        </w:tabs>
        <w:jc w:val="both"/>
        <w:rPr>
          <w:rFonts w:ascii="Arial" w:hAnsi="Arial" w:cs="Arial"/>
          <w:bCs/>
          <w:sz w:val="22"/>
        </w:rPr>
      </w:pPr>
      <w:r>
        <w:rPr>
          <w:rFonts w:ascii="Arial" w:hAnsi="Arial" w:cs="Arial"/>
          <w:bCs/>
          <w:sz w:val="22"/>
        </w:rPr>
        <w:t>После войны колхозам и совхозам области государством была оказана серьезная помощь, сыгравшая важную роль в дальнейшем развитии сельскохозяйственного производства. За первую послевоенную пятилетку мо</w:t>
      </w:r>
      <w:r>
        <w:rPr>
          <w:rFonts w:ascii="Arial" w:hAnsi="Arial" w:cs="Arial"/>
          <w:bCs/>
          <w:sz w:val="22"/>
        </w:rPr>
        <w:t>щ</w:t>
      </w:r>
      <w:r>
        <w:rPr>
          <w:rFonts w:ascii="Arial" w:hAnsi="Arial" w:cs="Arial"/>
          <w:bCs/>
          <w:sz w:val="22"/>
        </w:rPr>
        <w:t xml:space="preserve">ность МТС превзошла довоенный уровень. </w:t>
      </w:r>
    </w:p>
    <w:p w:rsidR="009D6CD2" w:rsidRDefault="009D6CD2" w:rsidP="009D6CD2">
      <w:pPr>
        <w:tabs>
          <w:tab w:val="left" w:pos="10915"/>
        </w:tabs>
        <w:jc w:val="both"/>
        <w:rPr>
          <w:rFonts w:ascii="Arial" w:hAnsi="Arial" w:cs="Arial"/>
          <w:bCs/>
          <w:sz w:val="22"/>
        </w:rPr>
      </w:pPr>
      <w:r>
        <w:rPr>
          <w:rFonts w:ascii="Arial" w:hAnsi="Arial" w:cs="Arial"/>
          <w:bCs/>
          <w:sz w:val="22"/>
        </w:rPr>
        <w:t>Техническое вооружение сельского хозяйства проходило не только за счет количественного увеличения маши</w:t>
      </w:r>
      <w:r>
        <w:rPr>
          <w:rFonts w:ascii="Arial" w:hAnsi="Arial" w:cs="Arial"/>
          <w:bCs/>
          <w:sz w:val="22"/>
        </w:rPr>
        <w:t>н</w:t>
      </w:r>
      <w:r>
        <w:rPr>
          <w:rFonts w:ascii="Arial" w:hAnsi="Arial" w:cs="Arial"/>
          <w:bCs/>
          <w:sz w:val="22"/>
        </w:rPr>
        <w:t>но-тракторного  парка, но и путем интенсивной замены устаревшей техники новой, отвечающей требованиям передовой технологии. В конце 40-х годов началось массовое укрупнение колхозов и совхозов, сопровождавшееся значительной концентрацией производства.</w:t>
      </w:r>
    </w:p>
    <w:p w:rsidR="009D6CD2" w:rsidRDefault="009D6CD2" w:rsidP="009D6CD2">
      <w:pPr>
        <w:tabs>
          <w:tab w:val="left" w:pos="10915"/>
        </w:tabs>
        <w:jc w:val="both"/>
        <w:rPr>
          <w:rFonts w:ascii="Arial" w:hAnsi="Arial" w:cs="Arial"/>
          <w:bCs/>
          <w:sz w:val="22"/>
        </w:rPr>
      </w:pPr>
      <w:r>
        <w:rPr>
          <w:rFonts w:ascii="Arial" w:hAnsi="Arial" w:cs="Arial"/>
          <w:bCs/>
          <w:sz w:val="22"/>
        </w:rPr>
        <w:t xml:space="preserve">С укреплением технической базы  росла и </w:t>
      </w:r>
      <w:proofErr w:type="spellStart"/>
      <w:r>
        <w:rPr>
          <w:rFonts w:ascii="Arial" w:hAnsi="Arial" w:cs="Arial"/>
          <w:bCs/>
          <w:sz w:val="22"/>
        </w:rPr>
        <w:t>электровооруженность</w:t>
      </w:r>
      <w:proofErr w:type="spellEnd"/>
      <w:r>
        <w:rPr>
          <w:rFonts w:ascii="Arial" w:hAnsi="Arial" w:cs="Arial"/>
          <w:bCs/>
          <w:sz w:val="22"/>
        </w:rPr>
        <w:t xml:space="preserve"> колхозов и совхозов области. </w:t>
      </w:r>
    </w:p>
    <w:p w:rsidR="009D6CD2" w:rsidRDefault="009D6CD2" w:rsidP="009D6CD2">
      <w:pPr>
        <w:tabs>
          <w:tab w:val="left" w:pos="10915"/>
        </w:tabs>
        <w:jc w:val="both"/>
        <w:rPr>
          <w:rFonts w:ascii="Arial" w:hAnsi="Arial" w:cs="Arial"/>
          <w:bCs/>
          <w:sz w:val="22"/>
        </w:rPr>
      </w:pPr>
      <w:r>
        <w:rPr>
          <w:rFonts w:ascii="Arial" w:hAnsi="Arial" w:cs="Arial"/>
          <w:bCs/>
          <w:sz w:val="22"/>
        </w:rPr>
        <w:t>Значительный импульс подъему сельского хозяйства в 50-х годах дало изменение ценовой политики государства. С 1952 по 1959 год государственные заготовительно-закупочные цены на сельскохозяйственные продукты по стране были подняты в среднем в 3 раза.</w:t>
      </w:r>
    </w:p>
    <w:p w:rsidR="009D6CD2" w:rsidRDefault="009D6CD2" w:rsidP="009D6CD2">
      <w:pPr>
        <w:tabs>
          <w:tab w:val="left" w:pos="10915"/>
        </w:tabs>
        <w:jc w:val="both"/>
        <w:rPr>
          <w:rFonts w:ascii="Arial" w:hAnsi="Arial" w:cs="Arial"/>
          <w:bCs/>
          <w:sz w:val="22"/>
        </w:rPr>
      </w:pPr>
      <w:r>
        <w:rPr>
          <w:rFonts w:ascii="Arial" w:hAnsi="Arial" w:cs="Arial"/>
          <w:bCs/>
          <w:sz w:val="22"/>
        </w:rPr>
        <w:t>За послевоенный период значительно расширилось производство подсолнечника, картофеля и овощей, поднялась и урожайность этих культур. Для воспроизводства сортовых семян в области создана сеть семеноводческих хозяйств, среди них Ульяновская государстве</w:t>
      </w:r>
      <w:r>
        <w:rPr>
          <w:rFonts w:ascii="Arial" w:hAnsi="Arial" w:cs="Arial"/>
          <w:bCs/>
          <w:sz w:val="22"/>
        </w:rPr>
        <w:t>н</w:t>
      </w:r>
      <w:r>
        <w:rPr>
          <w:rFonts w:ascii="Arial" w:hAnsi="Arial" w:cs="Arial"/>
          <w:bCs/>
          <w:sz w:val="22"/>
        </w:rPr>
        <w:t>ная сельскохозяйственная  опытная станция, коллектив которой вывел несколько лучших зимостойких сортов сельскохозяйственных культур.</w:t>
      </w:r>
    </w:p>
    <w:p w:rsidR="009D6CD2" w:rsidRDefault="009D6CD2" w:rsidP="009D6CD2">
      <w:pPr>
        <w:pStyle w:val="aa"/>
        <w:spacing w:line="240" w:lineRule="auto"/>
        <w:ind w:firstLine="0"/>
        <w:rPr>
          <w:rFonts w:cs="Arial"/>
          <w:sz w:val="22"/>
        </w:rPr>
      </w:pPr>
      <w:r>
        <w:rPr>
          <w:rFonts w:cs="Arial"/>
          <w:noProof/>
          <w:sz w:val="22"/>
        </w:rPr>
        <w:drawing>
          <wp:anchor distT="0" distB="0" distL="114300" distR="114300" simplePos="0" relativeHeight="251766784" behindDoc="0" locked="0" layoutInCell="1" allowOverlap="1">
            <wp:simplePos x="0" y="0"/>
            <wp:positionH relativeFrom="column">
              <wp:posOffset>-27940</wp:posOffset>
            </wp:positionH>
            <wp:positionV relativeFrom="paragraph">
              <wp:posOffset>50800</wp:posOffset>
            </wp:positionV>
            <wp:extent cx="1417320" cy="1068705"/>
            <wp:effectExtent l="19050" t="0" r="0" b="0"/>
            <wp:wrapSquare wrapText="bothSides"/>
            <wp:docPr id="81" name="Рисунок 68" descr="с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2.jpg"/>
                    <pic:cNvPicPr/>
                  </pic:nvPicPr>
                  <pic:blipFill>
                    <a:blip r:embed="rId43"/>
                    <a:stretch>
                      <a:fillRect/>
                    </a:stretch>
                  </pic:blipFill>
                  <pic:spPr>
                    <a:xfrm>
                      <a:off x="0" y="0"/>
                      <a:ext cx="1417320" cy="1068705"/>
                    </a:xfrm>
                    <a:prstGeom prst="rect">
                      <a:avLst/>
                    </a:prstGeom>
                  </pic:spPr>
                </pic:pic>
              </a:graphicData>
            </a:graphic>
          </wp:anchor>
        </w:drawing>
      </w:r>
      <w:r>
        <w:rPr>
          <w:rFonts w:cs="Arial"/>
          <w:sz w:val="22"/>
        </w:rPr>
        <w:t>В послевоенный  период была проделана огромная работа по преодолению отставания общественного животн</w:t>
      </w:r>
      <w:r>
        <w:rPr>
          <w:rFonts w:cs="Arial"/>
          <w:sz w:val="22"/>
        </w:rPr>
        <w:t>о</w:t>
      </w:r>
      <w:r>
        <w:rPr>
          <w:rFonts w:cs="Arial"/>
          <w:sz w:val="22"/>
        </w:rPr>
        <w:t>водства. В производстве мяса упор был сделан на свиноводство. Повысилась продуктивность скота и птицы в колхозах и совхозах. В хозяйствах области повысился уровень воспроизводства стада, успешно развернулась р</w:t>
      </w:r>
      <w:r>
        <w:rPr>
          <w:rFonts w:cs="Arial"/>
          <w:sz w:val="22"/>
        </w:rPr>
        <w:t>а</w:t>
      </w:r>
      <w:r>
        <w:rPr>
          <w:rFonts w:cs="Arial"/>
          <w:sz w:val="22"/>
        </w:rPr>
        <w:t>бота по разведению племенного скота.</w:t>
      </w:r>
    </w:p>
    <w:p w:rsidR="009D6CD2" w:rsidRDefault="009D6CD2" w:rsidP="009D6CD2">
      <w:pPr>
        <w:pStyle w:val="aa"/>
        <w:spacing w:line="240" w:lineRule="auto"/>
        <w:ind w:firstLine="0"/>
        <w:rPr>
          <w:rFonts w:cs="Arial"/>
          <w:sz w:val="22"/>
        </w:rPr>
      </w:pPr>
      <w:r>
        <w:rPr>
          <w:rFonts w:cs="Arial"/>
          <w:sz w:val="22"/>
        </w:rPr>
        <w:t xml:space="preserve">Новая пятилетка (1966 – 1970 гг.) характеризовалась большим ростом производственных основных фондов. </w:t>
      </w:r>
    </w:p>
    <w:p w:rsidR="009D6CD2" w:rsidRDefault="009D6CD2" w:rsidP="009D6CD2">
      <w:pPr>
        <w:pStyle w:val="aa"/>
        <w:spacing w:line="240" w:lineRule="auto"/>
        <w:ind w:firstLine="0"/>
        <w:rPr>
          <w:rFonts w:cs="Arial"/>
          <w:sz w:val="22"/>
        </w:rPr>
      </w:pPr>
      <w:r>
        <w:rPr>
          <w:rFonts w:cs="Arial"/>
          <w:sz w:val="22"/>
        </w:rPr>
        <w:t>Высокие производственные показатели, рост денежных доходов, ведение прямого банковского кредитования  сп</w:t>
      </w:r>
      <w:r>
        <w:rPr>
          <w:rFonts w:cs="Arial"/>
          <w:sz w:val="22"/>
        </w:rPr>
        <w:t>о</w:t>
      </w:r>
      <w:r>
        <w:rPr>
          <w:rFonts w:cs="Arial"/>
          <w:sz w:val="22"/>
        </w:rPr>
        <w:t>собствовали  улучшению экономического и  финансового состояния колхозов и совхозов.</w:t>
      </w:r>
    </w:p>
    <w:p w:rsidR="009D6CD2" w:rsidRDefault="009D6CD2" w:rsidP="009D6CD2">
      <w:pPr>
        <w:pStyle w:val="aa"/>
        <w:spacing w:line="240" w:lineRule="auto"/>
        <w:rPr>
          <w:rFonts w:cs="Arial"/>
          <w:sz w:val="22"/>
        </w:rPr>
      </w:pPr>
      <w:r>
        <w:rPr>
          <w:rFonts w:cs="Arial"/>
          <w:sz w:val="22"/>
        </w:rPr>
        <w:t>С началом экономических реформ  в экономике сельского хозяйства  формировался новый уклад: колхозы и совхозы преобраз</w:t>
      </w:r>
      <w:r>
        <w:rPr>
          <w:rFonts w:cs="Arial"/>
          <w:sz w:val="22"/>
        </w:rPr>
        <w:t>о</w:t>
      </w:r>
      <w:r>
        <w:rPr>
          <w:rFonts w:cs="Arial"/>
          <w:sz w:val="22"/>
        </w:rPr>
        <w:t>вались  в товарищества, акционерные общества, сельскохозяйственные кооперативы, создавались крестьянские (фермерские) хозя</w:t>
      </w:r>
      <w:r>
        <w:rPr>
          <w:rFonts w:cs="Arial"/>
          <w:sz w:val="22"/>
        </w:rPr>
        <w:t>й</w:t>
      </w:r>
      <w:r>
        <w:rPr>
          <w:rFonts w:cs="Arial"/>
          <w:sz w:val="22"/>
        </w:rPr>
        <w:t>ства.</w:t>
      </w:r>
    </w:p>
    <w:p w:rsidR="009D6CD2" w:rsidRDefault="009D6CD2" w:rsidP="009D6CD2">
      <w:pPr>
        <w:pStyle w:val="aa"/>
        <w:spacing w:line="240" w:lineRule="auto"/>
        <w:rPr>
          <w:rFonts w:cs="Arial"/>
          <w:sz w:val="22"/>
        </w:rPr>
      </w:pPr>
      <w:r>
        <w:rPr>
          <w:rFonts w:cs="Arial"/>
          <w:sz w:val="22"/>
        </w:rPr>
        <w:t>Аграрная экономика  стала адаптироваться к новым, рыночным условиям, создавать соответствующие требованиям рынка экон</w:t>
      </w:r>
      <w:r>
        <w:rPr>
          <w:rFonts w:cs="Arial"/>
          <w:sz w:val="22"/>
        </w:rPr>
        <w:t>о</w:t>
      </w:r>
      <w:r>
        <w:rPr>
          <w:rFonts w:cs="Arial"/>
          <w:sz w:val="22"/>
        </w:rPr>
        <w:t xml:space="preserve">мические отношения, материально-техническую базу и т.д. </w:t>
      </w:r>
    </w:p>
    <w:p w:rsidR="009D6CD2" w:rsidRDefault="009D6CD2" w:rsidP="009D6CD2">
      <w:pPr>
        <w:pStyle w:val="aa"/>
        <w:spacing w:line="240" w:lineRule="auto"/>
        <w:rPr>
          <w:rFonts w:cs="Arial"/>
          <w:sz w:val="22"/>
        </w:rPr>
      </w:pPr>
      <w:r>
        <w:rPr>
          <w:rFonts w:cs="Arial"/>
          <w:sz w:val="22"/>
        </w:rPr>
        <w:t>Однако система аграрного сектора оказалась неподготовленной к рынку. В сельском хозяйстве резко увеличилось число убыто</w:t>
      </w:r>
      <w:r>
        <w:rPr>
          <w:rFonts w:cs="Arial"/>
          <w:sz w:val="22"/>
        </w:rPr>
        <w:t>ч</w:t>
      </w:r>
      <w:r>
        <w:rPr>
          <w:rFonts w:cs="Arial"/>
          <w:sz w:val="22"/>
        </w:rPr>
        <w:t>ных предприятий, ощущалась острая нехватка оборотных средств. Снижение эффективности колхозно-совхозного производства было связано со значительным спадом выработки сельхозпродукции в результате нарушения поставок и высоких цен на технику, оборудов</w:t>
      </w:r>
      <w:r>
        <w:rPr>
          <w:rFonts w:cs="Arial"/>
          <w:sz w:val="22"/>
        </w:rPr>
        <w:t>а</w:t>
      </w:r>
      <w:r>
        <w:rPr>
          <w:rFonts w:cs="Arial"/>
          <w:sz w:val="22"/>
        </w:rPr>
        <w:t>ние, сырье,  горюче-смазочные материалы, комбикорма, а также отменой дотации для покрытия разницы между себестоимостью прои</w:t>
      </w:r>
      <w:r>
        <w:rPr>
          <w:rFonts w:cs="Arial"/>
          <w:sz w:val="22"/>
        </w:rPr>
        <w:t>з</w:t>
      </w:r>
      <w:r>
        <w:rPr>
          <w:rFonts w:cs="Arial"/>
          <w:sz w:val="22"/>
        </w:rPr>
        <w:t>водимой продукции сельского хозяйства и розничной ценой.</w:t>
      </w:r>
    </w:p>
    <w:p w:rsidR="009D6CD2" w:rsidRDefault="009D6CD2" w:rsidP="009D6CD2">
      <w:pPr>
        <w:ind w:firstLine="720"/>
        <w:jc w:val="both"/>
        <w:rPr>
          <w:rFonts w:ascii="Arial" w:hAnsi="Arial" w:cs="Arial"/>
          <w:bCs/>
          <w:sz w:val="22"/>
        </w:rPr>
      </w:pPr>
      <w:r>
        <w:rPr>
          <w:rFonts w:ascii="Arial" w:hAnsi="Arial" w:cs="Arial"/>
          <w:bCs/>
          <w:sz w:val="22"/>
        </w:rPr>
        <w:t>В связи с перераспределением земель, интенсивным выделением земельных участков населению, развитием крестьянских (фе</w:t>
      </w:r>
      <w:r>
        <w:rPr>
          <w:rFonts w:ascii="Arial" w:hAnsi="Arial" w:cs="Arial"/>
          <w:bCs/>
          <w:sz w:val="22"/>
        </w:rPr>
        <w:t>р</w:t>
      </w:r>
      <w:r>
        <w:rPr>
          <w:rFonts w:ascii="Arial" w:hAnsi="Arial" w:cs="Arial"/>
          <w:bCs/>
          <w:sz w:val="22"/>
        </w:rPr>
        <w:t>мерских) хозяйств активизировалось развитие частного сектора в сельском хозяйстве, произошли значительные институциональные преобразования.</w:t>
      </w:r>
    </w:p>
    <w:p w:rsidR="009D6CD2" w:rsidRDefault="009D6CD2" w:rsidP="009D6CD2">
      <w:pPr>
        <w:ind w:firstLine="720"/>
        <w:jc w:val="both"/>
        <w:rPr>
          <w:rFonts w:ascii="Arial" w:hAnsi="Arial" w:cs="Arial"/>
          <w:bCs/>
          <w:sz w:val="22"/>
        </w:rPr>
      </w:pPr>
      <w:r>
        <w:rPr>
          <w:rFonts w:ascii="Arial" w:hAnsi="Arial" w:cs="Arial"/>
          <w:bCs/>
          <w:sz w:val="22"/>
        </w:rPr>
        <w:lastRenderedPageBreak/>
        <w:t xml:space="preserve">С 1 по 25 июля 2006 года по всей России прошла Всероссийская сельскохозяйственная перепись. В ходе проведения переписи в Ульяновской области было охвачено 256,6 тысяч объектов, и обследуемая земельная площадь в них составила 2345 тыс. га. </w:t>
      </w:r>
    </w:p>
    <w:p w:rsidR="009D6CD2" w:rsidRDefault="009D6CD2" w:rsidP="009D6CD2">
      <w:pPr>
        <w:ind w:firstLine="720"/>
        <w:jc w:val="both"/>
        <w:rPr>
          <w:rFonts w:ascii="Arial" w:hAnsi="Arial" w:cs="Arial"/>
          <w:bCs/>
          <w:sz w:val="22"/>
        </w:rPr>
      </w:pPr>
      <w:r>
        <w:rPr>
          <w:rFonts w:ascii="Arial" w:hAnsi="Arial" w:cs="Arial"/>
          <w:bCs/>
          <w:sz w:val="22"/>
        </w:rPr>
        <w:t>Окончательные итоги ВСХП показали, что в области зарегистрировано 815 сельскохозяйственных организаций, из которых 456 осуществляли сельскохозяйственную деятельность (56% от общего количества).  Из 2100 крестьянских (фермерских) хозяйств и индив</w:t>
      </w:r>
      <w:r>
        <w:rPr>
          <w:rFonts w:ascii="Arial" w:hAnsi="Arial" w:cs="Arial"/>
          <w:bCs/>
          <w:sz w:val="22"/>
        </w:rPr>
        <w:t>и</w:t>
      </w:r>
      <w:r>
        <w:rPr>
          <w:rFonts w:ascii="Arial" w:hAnsi="Arial" w:cs="Arial"/>
          <w:bCs/>
          <w:sz w:val="22"/>
        </w:rPr>
        <w:t>дуальных предпринимателей занимались сельскохозяйственной деятельностью 647. В результате переписи была получена информация о распределении некоммерческих объединений граждан по году создания. Наиболее активно выделялись участки гражданам в период с 1991 по 2003 год. В эти годы было создано 210 новых садовых объединений. Из 580 садоводческих, огороднических и дачных объедин</w:t>
      </w:r>
      <w:r>
        <w:rPr>
          <w:rFonts w:ascii="Arial" w:hAnsi="Arial" w:cs="Arial"/>
          <w:bCs/>
          <w:sz w:val="22"/>
        </w:rPr>
        <w:t>е</w:t>
      </w:r>
      <w:r>
        <w:rPr>
          <w:rFonts w:ascii="Arial" w:hAnsi="Arial" w:cs="Arial"/>
          <w:bCs/>
          <w:sz w:val="22"/>
        </w:rPr>
        <w:t xml:space="preserve">ний граждан 553 осуществляли сельскохозяйственную деятельность в 2006 году, в них находилось 161,6 тыс. земельных участков, из которых 126,8 освоено (это 78%). </w:t>
      </w:r>
    </w:p>
    <w:p w:rsidR="009D6CD2" w:rsidRDefault="009D6CD2" w:rsidP="009D6CD2">
      <w:pPr>
        <w:ind w:firstLine="720"/>
        <w:jc w:val="both"/>
        <w:rPr>
          <w:rFonts w:ascii="Arial" w:hAnsi="Arial" w:cs="Arial"/>
          <w:bCs/>
          <w:sz w:val="22"/>
        </w:rPr>
      </w:pPr>
      <w:r>
        <w:rPr>
          <w:rFonts w:ascii="Arial" w:hAnsi="Arial" w:cs="Arial"/>
          <w:bCs/>
          <w:sz w:val="22"/>
        </w:rPr>
        <w:t>В 2006 году в Ульяновской области имелось 253,</w:t>
      </w:r>
      <w:r w:rsidRPr="00692BAA">
        <w:rPr>
          <w:rFonts w:ascii="Arial" w:hAnsi="Arial" w:cs="Arial"/>
          <w:bCs/>
          <w:sz w:val="22"/>
        </w:rPr>
        <w:t>7</w:t>
      </w:r>
      <w:r>
        <w:rPr>
          <w:rFonts w:ascii="Arial" w:hAnsi="Arial" w:cs="Arial"/>
          <w:bCs/>
          <w:sz w:val="22"/>
        </w:rPr>
        <w:t xml:space="preserve"> тыс. личных подсобных и других индивидуальных хозяй</w:t>
      </w:r>
      <w:proofErr w:type="gramStart"/>
      <w:r>
        <w:rPr>
          <w:rFonts w:ascii="Arial" w:hAnsi="Arial" w:cs="Arial"/>
          <w:bCs/>
          <w:sz w:val="22"/>
        </w:rPr>
        <w:t>ств гр</w:t>
      </w:r>
      <w:proofErr w:type="gramEnd"/>
      <w:r>
        <w:rPr>
          <w:rFonts w:ascii="Arial" w:hAnsi="Arial" w:cs="Arial"/>
          <w:bCs/>
          <w:sz w:val="22"/>
        </w:rPr>
        <w:t>аждан, в том чи</w:t>
      </w:r>
      <w:r>
        <w:rPr>
          <w:rFonts w:ascii="Arial" w:hAnsi="Arial" w:cs="Arial"/>
          <w:bCs/>
          <w:sz w:val="22"/>
        </w:rPr>
        <w:t>с</w:t>
      </w:r>
      <w:r>
        <w:rPr>
          <w:rFonts w:ascii="Arial" w:hAnsi="Arial" w:cs="Arial"/>
          <w:bCs/>
          <w:sz w:val="22"/>
        </w:rPr>
        <w:t xml:space="preserve">ле производили сельскохозяйственную продукцию </w:t>
      </w:r>
      <w:r w:rsidRPr="0019294C">
        <w:rPr>
          <w:rFonts w:ascii="Arial" w:hAnsi="Arial" w:cs="Arial"/>
          <w:bCs/>
          <w:sz w:val="22"/>
        </w:rPr>
        <w:t>215</w:t>
      </w:r>
      <w:r>
        <w:rPr>
          <w:rFonts w:ascii="Arial" w:hAnsi="Arial" w:cs="Arial"/>
          <w:bCs/>
          <w:sz w:val="22"/>
        </w:rPr>
        <w:t>,0 личных подсобных и других индивидуальных хозяйств граждан. Личные подв</w:t>
      </w:r>
      <w:r>
        <w:rPr>
          <w:rFonts w:ascii="Arial" w:hAnsi="Arial" w:cs="Arial"/>
          <w:bCs/>
          <w:sz w:val="22"/>
        </w:rPr>
        <w:t>о</w:t>
      </w:r>
      <w:r>
        <w:rPr>
          <w:rFonts w:ascii="Arial" w:hAnsi="Arial" w:cs="Arial"/>
          <w:bCs/>
          <w:sz w:val="22"/>
        </w:rPr>
        <w:t>рья и раньше вносили существенную лепту в формирование продовольственных ресурсов страны, но за период с 2001 по 2007 годы, они были главными поставщиками, так как объём произведённой ими продукции составлял более 50% от всего валового производства сел</w:t>
      </w:r>
      <w:r>
        <w:rPr>
          <w:rFonts w:ascii="Arial" w:hAnsi="Arial" w:cs="Arial"/>
          <w:bCs/>
          <w:sz w:val="22"/>
        </w:rPr>
        <w:t>ь</w:t>
      </w:r>
      <w:r>
        <w:rPr>
          <w:rFonts w:ascii="Arial" w:hAnsi="Arial" w:cs="Arial"/>
          <w:bCs/>
          <w:sz w:val="22"/>
        </w:rPr>
        <w:t>хозпродукции. По данным ВСХП в 2006 году на долю личных подсобных хозяйств (ЛПХ) приходилось лишь 4,1% посевных площадей. Однако  удельный вес ЛПХ в производстве продуктов растениеводства хозяйствами всех категорий за этот год составил: по картофелю – 94%, овощам – 69%, плодам и ягодам – 86%. Также в ЛПХ производилось 80% мяса, 68% молока, 55% яиц.</w:t>
      </w:r>
    </w:p>
    <w:p w:rsidR="009D6CD2" w:rsidRPr="002B0A9C" w:rsidRDefault="009D6CD2" w:rsidP="009D6CD2">
      <w:pPr>
        <w:widowControl w:val="0"/>
        <w:ind w:firstLine="720"/>
        <w:jc w:val="both"/>
        <w:rPr>
          <w:rFonts w:ascii="Arial" w:hAnsi="Arial" w:cs="Arial"/>
          <w:bCs/>
          <w:sz w:val="22"/>
        </w:rPr>
      </w:pPr>
      <w:r w:rsidRPr="002B0A9C">
        <w:rPr>
          <w:rFonts w:ascii="Arial" w:hAnsi="Arial" w:cs="Arial"/>
          <w:bCs/>
          <w:sz w:val="22"/>
        </w:rPr>
        <w:t>Существенная бюджетная поддержка сельхозпроизводителей путем выделения дотаций, субсидий, улучшения условий кредит</w:t>
      </w:r>
      <w:r w:rsidRPr="002B0A9C">
        <w:rPr>
          <w:rFonts w:ascii="Arial" w:hAnsi="Arial" w:cs="Arial"/>
          <w:bCs/>
          <w:sz w:val="22"/>
        </w:rPr>
        <w:t>о</w:t>
      </w:r>
      <w:r w:rsidRPr="002B0A9C">
        <w:rPr>
          <w:rFonts w:ascii="Arial" w:hAnsi="Arial" w:cs="Arial"/>
          <w:bCs/>
          <w:sz w:val="22"/>
        </w:rPr>
        <w:t>вания, а также привлечение в регион инвестиций позволили начать техническое перевооружение аграрного сектора</w:t>
      </w:r>
      <w:r>
        <w:rPr>
          <w:rFonts w:ascii="Arial" w:hAnsi="Arial" w:cs="Arial"/>
          <w:bCs/>
          <w:sz w:val="22"/>
        </w:rPr>
        <w:t>.</w:t>
      </w:r>
    </w:p>
    <w:p w:rsidR="009D6CD2" w:rsidRDefault="009D6CD2" w:rsidP="009D6CD2">
      <w:pPr>
        <w:ind w:firstLine="720"/>
        <w:jc w:val="both"/>
        <w:rPr>
          <w:rFonts w:ascii="Arial" w:hAnsi="Arial" w:cs="Arial"/>
          <w:bCs/>
          <w:sz w:val="22"/>
        </w:rPr>
      </w:pPr>
      <w:r>
        <w:rPr>
          <w:rFonts w:ascii="Arial" w:hAnsi="Arial" w:cs="Arial"/>
          <w:bCs/>
          <w:sz w:val="22"/>
        </w:rPr>
        <w:t>В 2011 году в рамках реализации приоритетного национального проекта  «Развитие агропромышленного комплекса» на террит</w:t>
      </w:r>
      <w:r>
        <w:rPr>
          <w:rFonts w:ascii="Arial" w:hAnsi="Arial" w:cs="Arial"/>
          <w:bCs/>
          <w:sz w:val="22"/>
        </w:rPr>
        <w:t>о</w:t>
      </w:r>
      <w:r>
        <w:rPr>
          <w:rFonts w:ascii="Arial" w:hAnsi="Arial" w:cs="Arial"/>
          <w:bCs/>
          <w:sz w:val="22"/>
        </w:rPr>
        <w:t xml:space="preserve">рии   Ульяновской области финансирование его мероприятий составило </w:t>
      </w:r>
      <w:r w:rsidRPr="002B0A9C">
        <w:rPr>
          <w:rFonts w:ascii="Arial" w:hAnsi="Arial" w:cs="Arial"/>
          <w:bCs/>
          <w:sz w:val="22"/>
        </w:rPr>
        <w:t>1 320,093</w:t>
      </w:r>
      <w:r>
        <w:rPr>
          <w:rFonts w:ascii="Arial" w:hAnsi="Arial" w:cs="Arial"/>
          <w:bCs/>
          <w:sz w:val="22"/>
        </w:rPr>
        <w:t xml:space="preserve">млн. рублей </w:t>
      </w:r>
      <w:r w:rsidRPr="00724C43">
        <w:rPr>
          <w:rFonts w:ascii="Arial" w:hAnsi="Arial" w:cs="Arial"/>
          <w:bCs/>
          <w:sz w:val="22"/>
        </w:rPr>
        <w:t xml:space="preserve">(в 2010 - </w:t>
      </w:r>
      <w:r>
        <w:rPr>
          <w:rFonts w:ascii="Arial" w:hAnsi="Arial" w:cs="Arial"/>
          <w:bCs/>
          <w:sz w:val="22"/>
        </w:rPr>
        <w:t>1254,56), из которых 1013,43 млн. рублей – федеральные средства (в 2010 - 1003,117), 306,663 млн. рублей – средства консолидированного бюджета области (в 2010-251,443).  На поддержку племенного животноводства выделено 55,023 млн. рублей, на развитие семеноводства – 59,557, на приобрет</w:t>
      </w:r>
      <w:r>
        <w:rPr>
          <w:rFonts w:ascii="Arial" w:hAnsi="Arial" w:cs="Arial"/>
          <w:bCs/>
          <w:sz w:val="22"/>
        </w:rPr>
        <w:t>е</w:t>
      </w:r>
      <w:r>
        <w:rPr>
          <w:rFonts w:ascii="Arial" w:hAnsi="Arial" w:cs="Arial"/>
          <w:bCs/>
          <w:sz w:val="22"/>
        </w:rPr>
        <w:t>ние минеральных удобрений – 128,9млн. рублей.</w:t>
      </w:r>
    </w:p>
    <w:p w:rsidR="009D6CD2" w:rsidRPr="00414330" w:rsidRDefault="009D6CD2" w:rsidP="009D6CD2">
      <w:pPr>
        <w:pStyle w:val="aa"/>
        <w:spacing w:line="240" w:lineRule="auto"/>
        <w:rPr>
          <w:rFonts w:cs="Arial"/>
          <w:bCs/>
          <w:sz w:val="22"/>
        </w:rPr>
      </w:pPr>
      <w:r w:rsidRPr="006F2132">
        <w:rPr>
          <w:rFonts w:cs="Arial"/>
          <w:bCs/>
          <w:sz w:val="22"/>
        </w:rPr>
        <w:t>В Ульяновской области производство продукции сельского хозяйства в 2011 году обеспечивали около 320 сельскохозяйственных предприятий и организаций, 1407 крестьянских (фермерских) хозяйства и индивидуальных предпринимателей имели в пользование зе</w:t>
      </w:r>
      <w:r w:rsidRPr="006F2132">
        <w:rPr>
          <w:rFonts w:cs="Arial"/>
          <w:bCs/>
          <w:sz w:val="22"/>
        </w:rPr>
        <w:t>м</w:t>
      </w:r>
      <w:r w:rsidRPr="006F2132">
        <w:rPr>
          <w:rFonts w:cs="Arial"/>
          <w:bCs/>
          <w:sz w:val="22"/>
        </w:rPr>
        <w:t>ли, 168 тыс. семей граждан имели личные подсобные хозяйства. О</w:t>
      </w:r>
      <w:r w:rsidRPr="00481BAC">
        <w:rPr>
          <w:rFonts w:cs="Arial"/>
          <w:bCs/>
          <w:sz w:val="22"/>
        </w:rPr>
        <w:t xml:space="preserve">сновными производителями зерна </w:t>
      </w:r>
      <w:r>
        <w:rPr>
          <w:rFonts w:cs="Arial"/>
          <w:bCs/>
          <w:sz w:val="22"/>
        </w:rPr>
        <w:t xml:space="preserve">в области </w:t>
      </w:r>
      <w:r w:rsidRPr="00481BAC">
        <w:rPr>
          <w:rFonts w:cs="Arial"/>
          <w:bCs/>
          <w:sz w:val="22"/>
        </w:rPr>
        <w:t>являются сельскохозя</w:t>
      </w:r>
      <w:r w:rsidRPr="00481BAC">
        <w:rPr>
          <w:rFonts w:cs="Arial"/>
          <w:bCs/>
          <w:sz w:val="22"/>
        </w:rPr>
        <w:t>й</w:t>
      </w:r>
      <w:r w:rsidRPr="00481BAC">
        <w:rPr>
          <w:rFonts w:cs="Arial"/>
          <w:bCs/>
          <w:sz w:val="22"/>
        </w:rPr>
        <w:t>ственные организации (85,8 %),  наибольшая доля овощей (67,7%) и картофеля (88%) выращивается в хозяйствах населения.</w:t>
      </w:r>
      <w:r>
        <w:rPr>
          <w:rFonts w:cs="Arial"/>
          <w:bCs/>
          <w:sz w:val="22"/>
        </w:rPr>
        <w:t xml:space="preserve">  В </w:t>
      </w:r>
      <w:r w:rsidRPr="005150A8">
        <w:rPr>
          <w:rFonts w:cs="Arial"/>
          <w:bCs/>
          <w:sz w:val="22"/>
        </w:rPr>
        <w:t>201</w:t>
      </w:r>
      <w:r>
        <w:rPr>
          <w:rFonts w:cs="Arial"/>
          <w:bCs/>
          <w:sz w:val="22"/>
        </w:rPr>
        <w:t>1 году хозяйствами населения было произведено  59% мяса, 64% молока и 28% яиц. Удельный вес продукции сельского хозяйства в х</w:t>
      </w:r>
      <w:r>
        <w:rPr>
          <w:rFonts w:cs="Arial"/>
          <w:bCs/>
          <w:sz w:val="22"/>
        </w:rPr>
        <w:t>о</w:t>
      </w:r>
      <w:r>
        <w:rPr>
          <w:rFonts w:cs="Arial"/>
          <w:bCs/>
          <w:sz w:val="22"/>
        </w:rPr>
        <w:t>зяйствах населения составил 46,5% от хозяй</w:t>
      </w:r>
      <w:proofErr w:type="gramStart"/>
      <w:r>
        <w:rPr>
          <w:rFonts w:cs="Arial"/>
          <w:bCs/>
          <w:sz w:val="22"/>
        </w:rPr>
        <w:t>ств вс</w:t>
      </w:r>
      <w:proofErr w:type="gramEnd"/>
      <w:r>
        <w:rPr>
          <w:rFonts w:cs="Arial"/>
          <w:bCs/>
          <w:sz w:val="22"/>
        </w:rPr>
        <w:t xml:space="preserve">ех категорий. </w:t>
      </w:r>
    </w:p>
    <w:p w:rsidR="009D6CD2" w:rsidRDefault="009D6CD2" w:rsidP="009D6CD2">
      <w:pPr>
        <w:ind w:firstLine="720"/>
        <w:jc w:val="both"/>
        <w:rPr>
          <w:rFonts w:ascii="Arial" w:hAnsi="Arial" w:cs="Arial"/>
          <w:sz w:val="22"/>
        </w:rPr>
      </w:pPr>
      <w:r w:rsidRPr="001162FD">
        <w:rPr>
          <w:rFonts w:ascii="Arial" w:hAnsi="Arial" w:cs="Arial"/>
          <w:sz w:val="22"/>
        </w:rPr>
        <w:t xml:space="preserve">Индекс </w:t>
      </w:r>
      <w:r>
        <w:rPr>
          <w:rFonts w:ascii="Arial" w:hAnsi="Arial" w:cs="Arial"/>
          <w:sz w:val="22"/>
        </w:rPr>
        <w:t>производства продукции сельского хозяйства в</w:t>
      </w:r>
      <w:r w:rsidRPr="001162FD">
        <w:rPr>
          <w:rFonts w:ascii="Arial" w:hAnsi="Arial" w:cs="Arial"/>
          <w:sz w:val="22"/>
        </w:rPr>
        <w:t xml:space="preserve"> хозяйств</w:t>
      </w:r>
      <w:r>
        <w:rPr>
          <w:rFonts w:ascii="Arial" w:hAnsi="Arial" w:cs="Arial"/>
          <w:sz w:val="22"/>
        </w:rPr>
        <w:t xml:space="preserve">ах всех </w:t>
      </w:r>
      <w:r w:rsidRPr="001162FD">
        <w:rPr>
          <w:rFonts w:ascii="Arial" w:hAnsi="Arial" w:cs="Arial"/>
          <w:sz w:val="22"/>
        </w:rPr>
        <w:t>категори</w:t>
      </w:r>
      <w:r>
        <w:rPr>
          <w:rFonts w:ascii="Arial" w:hAnsi="Arial" w:cs="Arial"/>
          <w:sz w:val="22"/>
        </w:rPr>
        <w:t>й</w:t>
      </w:r>
      <w:r w:rsidR="00406629">
        <w:rPr>
          <w:rFonts w:ascii="Arial" w:hAnsi="Arial" w:cs="Arial"/>
          <w:sz w:val="22"/>
        </w:rPr>
        <w:t xml:space="preserve"> </w:t>
      </w:r>
      <w:r>
        <w:rPr>
          <w:rFonts w:ascii="Arial" w:hAnsi="Arial" w:cs="Arial"/>
          <w:sz w:val="22"/>
        </w:rPr>
        <w:t xml:space="preserve">в  </w:t>
      </w:r>
      <w:r w:rsidRPr="001162FD">
        <w:rPr>
          <w:rFonts w:ascii="Arial" w:hAnsi="Arial" w:cs="Arial"/>
          <w:sz w:val="22"/>
        </w:rPr>
        <w:t>20</w:t>
      </w:r>
      <w:r>
        <w:rPr>
          <w:rFonts w:ascii="Arial" w:hAnsi="Arial" w:cs="Arial"/>
          <w:sz w:val="22"/>
        </w:rPr>
        <w:t>11</w:t>
      </w:r>
      <w:r w:rsidRPr="001162FD">
        <w:rPr>
          <w:rFonts w:ascii="Arial" w:hAnsi="Arial" w:cs="Arial"/>
          <w:sz w:val="22"/>
        </w:rPr>
        <w:t xml:space="preserve"> год</w:t>
      </w:r>
      <w:r>
        <w:rPr>
          <w:rFonts w:ascii="Arial" w:hAnsi="Arial" w:cs="Arial"/>
          <w:sz w:val="22"/>
        </w:rPr>
        <w:t>у</w:t>
      </w:r>
      <w:r w:rsidRPr="001162FD">
        <w:rPr>
          <w:rFonts w:ascii="Arial" w:hAnsi="Arial" w:cs="Arial"/>
          <w:sz w:val="22"/>
        </w:rPr>
        <w:t xml:space="preserve"> составил к предыдущему году (в сопоставимых ценах) </w:t>
      </w:r>
      <w:r>
        <w:rPr>
          <w:rFonts w:ascii="Arial" w:hAnsi="Arial" w:cs="Arial"/>
          <w:sz w:val="22"/>
        </w:rPr>
        <w:t>177,3%, в 2010 – 72,0%</w:t>
      </w:r>
      <w:r w:rsidRPr="001162FD">
        <w:rPr>
          <w:rFonts w:ascii="Arial" w:hAnsi="Arial" w:cs="Arial"/>
          <w:sz w:val="22"/>
        </w:rPr>
        <w:t>.</w:t>
      </w:r>
    </w:p>
    <w:p w:rsidR="009D6CD2" w:rsidRPr="00FC58D0" w:rsidRDefault="009D6CD2" w:rsidP="009D6CD2">
      <w:pPr>
        <w:ind w:firstLine="709"/>
        <w:jc w:val="both"/>
        <w:rPr>
          <w:rFonts w:ascii="Arial" w:hAnsi="Arial" w:cs="Arial"/>
          <w:bCs/>
          <w:sz w:val="22"/>
        </w:rPr>
      </w:pPr>
      <w:r w:rsidRPr="00834BE2">
        <w:rPr>
          <w:rFonts w:ascii="Arial" w:hAnsi="Arial" w:cs="Arial"/>
          <w:sz w:val="22"/>
        </w:rPr>
        <w:t xml:space="preserve">За последние пять лет показатели производства сельскохозяйственной продукции в Ульяновской области заметно изменялись как в лучшую, так и в худшую сторону. </w:t>
      </w:r>
      <w:r w:rsidRPr="007A420A">
        <w:rPr>
          <w:rFonts w:ascii="Arial" w:hAnsi="Arial" w:cs="Arial"/>
          <w:sz w:val="22"/>
        </w:rPr>
        <w:t>В отрасли растениеводства в последние годы (кроме неурожайного 2010 года) наблюдается устойч</w:t>
      </w:r>
      <w:r w:rsidRPr="007A420A">
        <w:rPr>
          <w:rFonts w:ascii="Arial" w:hAnsi="Arial" w:cs="Arial"/>
          <w:sz w:val="22"/>
        </w:rPr>
        <w:t>и</w:t>
      </w:r>
      <w:r w:rsidRPr="007A420A">
        <w:rPr>
          <w:rFonts w:ascii="Arial" w:hAnsi="Arial" w:cs="Arial"/>
          <w:sz w:val="22"/>
        </w:rPr>
        <w:t>вая тенденция роста производства основных сельскохозяйственных культур</w:t>
      </w:r>
      <w:r>
        <w:rPr>
          <w:rFonts w:ascii="Arial" w:hAnsi="Arial" w:cs="Arial"/>
          <w:sz w:val="22"/>
        </w:rPr>
        <w:t xml:space="preserve">. </w:t>
      </w:r>
      <w:r w:rsidRPr="00572F34">
        <w:rPr>
          <w:rFonts w:ascii="Arial" w:hAnsi="Arial" w:cs="Arial"/>
          <w:sz w:val="22"/>
        </w:rPr>
        <w:t>В 2008, 2009 и в 2011 годах в структуре сельскохозяйстве</w:t>
      </w:r>
      <w:r w:rsidRPr="00572F34">
        <w:rPr>
          <w:rFonts w:ascii="Arial" w:hAnsi="Arial" w:cs="Arial"/>
          <w:sz w:val="22"/>
        </w:rPr>
        <w:t>н</w:t>
      </w:r>
      <w:r w:rsidRPr="00572F34">
        <w:rPr>
          <w:rFonts w:ascii="Arial" w:hAnsi="Arial" w:cs="Arial"/>
          <w:sz w:val="22"/>
        </w:rPr>
        <w:t xml:space="preserve">ной продукции наибольшую долю занимала продукция растениеводства (56,6; 50,8 и 58,3%) </w:t>
      </w:r>
      <w:r>
        <w:rPr>
          <w:rFonts w:ascii="Arial" w:hAnsi="Arial" w:cs="Arial"/>
          <w:bCs/>
          <w:sz w:val="22"/>
        </w:rPr>
        <w:t xml:space="preserve">. </w:t>
      </w:r>
      <w:r w:rsidRPr="001162FD">
        <w:rPr>
          <w:rFonts w:ascii="Arial" w:hAnsi="Arial" w:cs="Arial"/>
          <w:bCs/>
          <w:sz w:val="22"/>
        </w:rPr>
        <w:t>Объём продукции растениеводства (в соп</w:t>
      </w:r>
      <w:r w:rsidRPr="001162FD">
        <w:rPr>
          <w:rFonts w:ascii="Arial" w:hAnsi="Arial" w:cs="Arial"/>
          <w:bCs/>
          <w:sz w:val="22"/>
        </w:rPr>
        <w:t>о</w:t>
      </w:r>
      <w:r w:rsidRPr="001162FD">
        <w:rPr>
          <w:rFonts w:ascii="Arial" w:hAnsi="Arial" w:cs="Arial"/>
          <w:bCs/>
          <w:sz w:val="22"/>
        </w:rPr>
        <w:t>ставимых ценах) в 20</w:t>
      </w:r>
      <w:r>
        <w:rPr>
          <w:rFonts w:ascii="Arial" w:hAnsi="Arial" w:cs="Arial"/>
          <w:bCs/>
          <w:sz w:val="22"/>
        </w:rPr>
        <w:t>11</w:t>
      </w:r>
      <w:r w:rsidRPr="001162FD">
        <w:rPr>
          <w:rFonts w:ascii="Arial" w:hAnsi="Arial" w:cs="Arial"/>
          <w:bCs/>
          <w:sz w:val="22"/>
        </w:rPr>
        <w:t xml:space="preserve"> году составил </w:t>
      </w:r>
      <w:r>
        <w:rPr>
          <w:rFonts w:ascii="Arial" w:hAnsi="Arial" w:cs="Arial"/>
          <w:bCs/>
          <w:sz w:val="22"/>
        </w:rPr>
        <w:t>301,9</w:t>
      </w:r>
      <w:r w:rsidRPr="001162FD">
        <w:rPr>
          <w:rFonts w:ascii="Arial" w:hAnsi="Arial" w:cs="Arial"/>
          <w:bCs/>
          <w:sz w:val="22"/>
        </w:rPr>
        <w:t>% к объёму продукции за предыдущий год</w:t>
      </w:r>
      <w:r>
        <w:rPr>
          <w:rFonts w:ascii="Arial" w:hAnsi="Arial" w:cs="Arial"/>
          <w:bCs/>
          <w:sz w:val="22"/>
        </w:rPr>
        <w:t xml:space="preserve"> (в 2010 -46,3%). </w:t>
      </w:r>
    </w:p>
    <w:p w:rsidR="009D6CD2" w:rsidRPr="006332ED" w:rsidRDefault="009D6CD2" w:rsidP="009D6CD2">
      <w:pPr>
        <w:pStyle w:val="aa"/>
        <w:spacing w:line="240" w:lineRule="auto"/>
        <w:rPr>
          <w:rFonts w:cs="Arial"/>
          <w:sz w:val="22"/>
          <w:szCs w:val="22"/>
        </w:rPr>
      </w:pPr>
      <w:r>
        <w:rPr>
          <w:rFonts w:cs="Arial"/>
          <w:sz w:val="22"/>
          <w:szCs w:val="22"/>
        </w:rPr>
        <w:t>За 9 месяцев2012  года  индекс сельскохозяйственного производства по хозяйствам всех категорий по сравнению с соответств</w:t>
      </w:r>
      <w:r>
        <w:rPr>
          <w:rFonts w:cs="Arial"/>
          <w:sz w:val="22"/>
          <w:szCs w:val="22"/>
        </w:rPr>
        <w:t>у</w:t>
      </w:r>
      <w:r>
        <w:rPr>
          <w:rFonts w:cs="Arial"/>
          <w:sz w:val="22"/>
          <w:szCs w:val="22"/>
        </w:rPr>
        <w:t>ющим периодом предыдущего года составил 95,9%, в сельскохозяйственных организациях  - 101,6, в хозяйствах населения –90,4, в кр</w:t>
      </w:r>
      <w:r>
        <w:rPr>
          <w:rFonts w:cs="Arial"/>
          <w:sz w:val="22"/>
          <w:szCs w:val="22"/>
        </w:rPr>
        <w:t>е</w:t>
      </w:r>
      <w:r>
        <w:rPr>
          <w:rFonts w:cs="Arial"/>
          <w:sz w:val="22"/>
          <w:szCs w:val="22"/>
        </w:rPr>
        <w:t>стьянских (фермерских) хозяйствах -99,8%.</w:t>
      </w:r>
    </w:p>
    <w:p w:rsidR="009D6CD2" w:rsidRPr="0055603B" w:rsidRDefault="009D6CD2" w:rsidP="009D6CD2">
      <w:pPr>
        <w:ind w:firstLine="709"/>
        <w:jc w:val="both"/>
        <w:rPr>
          <w:rFonts w:ascii="Arial" w:hAnsi="Arial" w:cs="Arial"/>
          <w:sz w:val="22"/>
        </w:rPr>
      </w:pPr>
      <w:r w:rsidRPr="0055603B">
        <w:rPr>
          <w:rFonts w:ascii="Arial" w:hAnsi="Arial" w:cs="Arial"/>
          <w:sz w:val="22"/>
        </w:rPr>
        <w:lastRenderedPageBreak/>
        <w:t>Работа по поддержанию плодородия земель сказывается на эффективности возделывания сельскохозяйственных культур.</w:t>
      </w:r>
      <w:r w:rsidRPr="0055603B">
        <w:rPr>
          <w:rFonts w:ascii="Arial" w:hAnsi="Arial" w:cs="Arial"/>
          <w:sz w:val="22"/>
        </w:rPr>
        <w:br/>
        <w:t xml:space="preserve"> Увеличивается объём внесения минеральных удобрений в почву. Под урожай 2011 года под сельскохозяйственные культуры внесено 28,0 тыс. тонн минеральных удобрений, что по сравнению с 2007 годом больше на 47,9%, к уровню 2010 года больше на 16,9%.</w:t>
      </w:r>
    </w:p>
    <w:p w:rsidR="009D6CD2" w:rsidRPr="0055603B" w:rsidRDefault="009D6CD2" w:rsidP="009D6CD2">
      <w:pPr>
        <w:ind w:firstLine="709"/>
        <w:jc w:val="both"/>
        <w:rPr>
          <w:rFonts w:ascii="Arial" w:hAnsi="Arial" w:cs="Arial"/>
          <w:sz w:val="22"/>
        </w:rPr>
      </w:pPr>
      <w:r w:rsidRPr="00834BE2">
        <w:rPr>
          <w:rFonts w:ascii="Arial" w:hAnsi="Arial" w:cs="Arial"/>
          <w:sz w:val="22"/>
        </w:rPr>
        <w:t>2011 год был  удачным для земледельцев Ульяновской области.</w:t>
      </w:r>
      <w:r w:rsidR="00E82093">
        <w:rPr>
          <w:rFonts w:ascii="Arial" w:hAnsi="Arial" w:cs="Arial"/>
          <w:sz w:val="22"/>
        </w:rPr>
        <w:t xml:space="preserve"> </w:t>
      </w:r>
      <w:r>
        <w:rPr>
          <w:rFonts w:ascii="Arial" w:hAnsi="Arial" w:cs="Arial"/>
          <w:sz w:val="22"/>
        </w:rPr>
        <w:t>Х</w:t>
      </w:r>
      <w:r w:rsidRPr="00DD6E4C">
        <w:rPr>
          <w:rFonts w:ascii="Arial" w:hAnsi="Arial" w:cs="Arial"/>
          <w:sz w:val="22"/>
        </w:rPr>
        <w:t xml:space="preserve">леборобы области </w:t>
      </w:r>
      <w:r>
        <w:rPr>
          <w:rFonts w:ascii="Arial" w:hAnsi="Arial" w:cs="Arial"/>
          <w:sz w:val="22"/>
        </w:rPr>
        <w:t xml:space="preserve"> смогли </w:t>
      </w:r>
      <w:r w:rsidRPr="00DD6E4C">
        <w:rPr>
          <w:rFonts w:ascii="Arial" w:hAnsi="Arial" w:cs="Arial"/>
          <w:sz w:val="22"/>
        </w:rPr>
        <w:t>получи</w:t>
      </w:r>
      <w:r>
        <w:rPr>
          <w:rFonts w:ascii="Arial" w:hAnsi="Arial" w:cs="Arial"/>
          <w:sz w:val="22"/>
        </w:rPr>
        <w:t>ть</w:t>
      </w:r>
      <w:r w:rsidRPr="00DD6E4C">
        <w:rPr>
          <w:rFonts w:ascii="Arial" w:hAnsi="Arial" w:cs="Arial"/>
          <w:sz w:val="22"/>
        </w:rPr>
        <w:t xml:space="preserve">  урожайность зерновых и зернобобовых культур 22</w:t>
      </w:r>
      <w:r>
        <w:rPr>
          <w:rFonts w:ascii="Arial" w:hAnsi="Arial" w:cs="Arial"/>
          <w:sz w:val="22"/>
        </w:rPr>
        <w:t>,</w:t>
      </w:r>
      <w:r w:rsidRPr="00DD6E4C">
        <w:rPr>
          <w:rFonts w:ascii="Arial" w:hAnsi="Arial" w:cs="Arial"/>
          <w:sz w:val="22"/>
        </w:rPr>
        <w:t xml:space="preserve">8 центнера с гектара. </w:t>
      </w:r>
      <w:r w:rsidRPr="0055603B">
        <w:rPr>
          <w:rFonts w:ascii="Arial" w:hAnsi="Arial" w:cs="Arial"/>
          <w:sz w:val="22"/>
        </w:rPr>
        <w:t>Самая высокая урожайность зерновых культур в области приходилась на 1973 год – 24,5 центнера с одного гектара.</w:t>
      </w:r>
    </w:p>
    <w:p w:rsidR="009D6CD2" w:rsidRDefault="009D6CD2" w:rsidP="009D6CD2">
      <w:pPr>
        <w:pStyle w:val="8"/>
        <w:spacing w:after="120"/>
        <w:rPr>
          <w:sz w:val="22"/>
        </w:rPr>
      </w:pPr>
      <w:r>
        <w:rPr>
          <w:sz w:val="22"/>
        </w:rPr>
        <w:t>УРОЖАЙНОСТЬ ЗЕРНОВЫХ КУЛЬТУР</w:t>
      </w:r>
      <w:proofErr w:type="gramStart"/>
      <w:r w:rsidRPr="00D66E10">
        <w:rPr>
          <w:sz w:val="22"/>
          <w:vertAlign w:val="superscript"/>
        </w:rPr>
        <w:t>1</w:t>
      </w:r>
      <w:proofErr w:type="gramEnd"/>
      <w:r w:rsidRPr="00D66E10">
        <w:rPr>
          <w:sz w:val="22"/>
          <w:vertAlign w:val="superscript"/>
        </w:rPr>
        <w:t>)</w:t>
      </w:r>
    </w:p>
    <w:tbl>
      <w:tblPr>
        <w:tblStyle w:val="-11"/>
        <w:tblW w:w="5000" w:type="pct"/>
        <w:tblLook w:val="0000" w:firstRow="0" w:lastRow="0" w:firstColumn="0" w:lastColumn="0" w:noHBand="0" w:noVBand="0"/>
      </w:tblPr>
      <w:tblGrid>
        <w:gridCol w:w="3623"/>
        <w:gridCol w:w="3629"/>
        <w:gridCol w:w="3626"/>
        <w:gridCol w:w="3626"/>
      </w:tblGrid>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gridSpan w:val="2"/>
            <w:shd w:val="clear" w:color="auto" w:fill="C6D9F1" w:themeFill="text2" w:themeFillTint="33"/>
          </w:tcPr>
          <w:p w:rsidR="009D6CD2" w:rsidRPr="00436049" w:rsidRDefault="009D6CD2" w:rsidP="009F6C7A">
            <w:pPr>
              <w:spacing w:before="20" w:after="20"/>
              <w:jc w:val="center"/>
              <w:rPr>
                <w:rFonts w:ascii="Arial" w:hAnsi="Arial" w:cs="Arial"/>
                <w:sz w:val="18"/>
                <w:szCs w:val="18"/>
              </w:rPr>
            </w:pPr>
            <w:r w:rsidRPr="00436049">
              <w:rPr>
                <w:rFonts w:ascii="Arial" w:hAnsi="Arial" w:cs="Arial"/>
                <w:sz w:val="18"/>
                <w:szCs w:val="18"/>
              </w:rPr>
              <w:t>Наиболее урожайные годы</w:t>
            </w:r>
          </w:p>
        </w:tc>
        <w:tc>
          <w:tcPr>
            <w:tcW w:w="2500" w:type="pct"/>
            <w:gridSpan w:val="2"/>
            <w:shd w:val="clear" w:color="auto" w:fill="C6D9F1" w:themeFill="text2" w:themeFillTint="33"/>
          </w:tcPr>
          <w:p w:rsidR="009D6CD2" w:rsidRPr="00436049" w:rsidRDefault="009D6CD2" w:rsidP="009F6C7A">
            <w:pPr>
              <w:spacing w:before="20" w:after="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Неурожайные годы</w:t>
            </w: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1249" w:type="pct"/>
            <w:shd w:val="clear" w:color="auto" w:fill="C6D9F1" w:themeFill="text2" w:themeFillTint="33"/>
          </w:tcPr>
          <w:p w:rsidR="009D6CD2" w:rsidRPr="00436049" w:rsidRDefault="009D6CD2" w:rsidP="009F6C7A">
            <w:pPr>
              <w:spacing w:before="20" w:after="20"/>
              <w:jc w:val="center"/>
              <w:rPr>
                <w:rFonts w:ascii="Arial" w:hAnsi="Arial" w:cs="Arial"/>
                <w:sz w:val="18"/>
                <w:szCs w:val="18"/>
              </w:rPr>
            </w:pPr>
            <w:r w:rsidRPr="00436049">
              <w:rPr>
                <w:rFonts w:ascii="Arial" w:hAnsi="Arial" w:cs="Arial"/>
                <w:sz w:val="18"/>
                <w:szCs w:val="18"/>
              </w:rPr>
              <w:t>годы</w:t>
            </w:r>
          </w:p>
        </w:tc>
        <w:tc>
          <w:tcPr>
            <w:tcW w:w="1251" w:type="pct"/>
            <w:shd w:val="clear" w:color="auto" w:fill="C6D9F1" w:themeFill="text2" w:themeFillTint="33"/>
          </w:tcPr>
          <w:p w:rsidR="009D6CD2" w:rsidRPr="00436049" w:rsidRDefault="009D6CD2" w:rsidP="009F6C7A">
            <w:pPr>
              <w:spacing w:before="20" w:after="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 xml:space="preserve">урожайность </w:t>
            </w:r>
            <w:r w:rsidRPr="00436049">
              <w:rPr>
                <w:rFonts w:ascii="Arial" w:hAnsi="Arial" w:cs="Arial"/>
                <w:sz w:val="18"/>
                <w:szCs w:val="18"/>
              </w:rPr>
              <w:br/>
              <w:t>(центнеров с 1 га)</w:t>
            </w:r>
          </w:p>
        </w:tc>
        <w:tc>
          <w:tcPr>
            <w:cnfStyle w:val="000010000000" w:firstRow="0" w:lastRow="0" w:firstColumn="0" w:lastColumn="0" w:oddVBand="1" w:evenVBand="0" w:oddHBand="0" w:evenHBand="0" w:firstRowFirstColumn="0" w:firstRowLastColumn="0" w:lastRowFirstColumn="0" w:lastRowLastColumn="0"/>
            <w:tcW w:w="1250" w:type="pct"/>
            <w:shd w:val="clear" w:color="auto" w:fill="C6D9F1" w:themeFill="text2" w:themeFillTint="33"/>
          </w:tcPr>
          <w:p w:rsidR="009D6CD2" w:rsidRPr="00436049" w:rsidRDefault="009D6CD2" w:rsidP="009F6C7A">
            <w:pPr>
              <w:spacing w:before="20" w:after="20"/>
              <w:jc w:val="center"/>
              <w:rPr>
                <w:rFonts w:ascii="Arial" w:hAnsi="Arial" w:cs="Arial"/>
                <w:sz w:val="18"/>
                <w:szCs w:val="18"/>
              </w:rPr>
            </w:pPr>
            <w:r w:rsidRPr="00436049">
              <w:rPr>
                <w:rFonts w:ascii="Arial" w:hAnsi="Arial" w:cs="Arial"/>
                <w:sz w:val="18"/>
                <w:szCs w:val="18"/>
              </w:rPr>
              <w:t>годы</w:t>
            </w:r>
          </w:p>
        </w:tc>
        <w:tc>
          <w:tcPr>
            <w:tcW w:w="1250" w:type="pct"/>
            <w:shd w:val="clear" w:color="auto" w:fill="C6D9F1" w:themeFill="text2" w:themeFillTint="33"/>
          </w:tcPr>
          <w:p w:rsidR="009D6CD2" w:rsidRPr="00436049" w:rsidRDefault="009D6CD2" w:rsidP="009F6C7A">
            <w:pPr>
              <w:spacing w:before="20" w:after="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 xml:space="preserve">урожайность </w:t>
            </w:r>
            <w:r w:rsidRPr="00436049">
              <w:rPr>
                <w:rFonts w:ascii="Arial" w:hAnsi="Arial" w:cs="Arial"/>
                <w:sz w:val="18"/>
                <w:szCs w:val="18"/>
              </w:rPr>
              <w:br/>
              <w:t>(центнеров с 1 га)</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1973</w:t>
            </w:r>
          </w:p>
        </w:tc>
        <w:tc>
          <w:tcPr>
            <w:tcW w:w="1251"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24,5</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1940</w:t>
            </w:r>
          </w:p>
        </w:tc>
        <w:tc>
          <w:tcPr>
            <w:tcW w:w="1250"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8,0</w:t>
            </w: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1974</w:t>
            </w:r>
          </w:p>
        </w:tc>
        <w:tc>
          <w:tcPr>
            <w:tcW w:w="1251"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17,3</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1950</w:t>
            </w:r>
          </w:p>
        </w:tc>
        <w:tc>
          <w:tcPr>
            <w:tcW w:w="1250"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4,9</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1976</w:t>
            </w:r>
          </w:p>
        </w:tc>
        <w:tc>
          <w:tcPr>
            <w:tcW w:w="1251"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19,5</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1953</w:t>
            </w:r>
          </w:p>
        </w:tc>
        <w:tc>
          <w:tcPr>
            <w:tcW w:w="1250"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7,9</w:t>
            </w: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1978</w:t>
            </w:r>
          </w:p>
        </w:tc>
        <w:tc>
          <w:tcPr>
            <w:tcW w:w="1251"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19,5</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1955</w:t>
            </w:r>
          </w:p>
        </w:tc>
        <w:tc>
          <w:tcPr>
            <w:tcW w:w="1250"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8,2</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1982</w:t>
            </w:r>
          </w:p>
        </w:tc>
        <w:tc>
          <w:tcPr>
            <w:tcW w:w="1251"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19,9</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1981</w:t>
            </w:r>
          </w:p>
        </w:tc>
        <w:tc>
          <w:tcPr>
            <w:tcW w:w="1250"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8,3</w:t>
            </w: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1983</w:t>
            </w:r>
          </w:p>
        </w:tc>
        <w:tc>
          <w:tcPr>
            <w:tcW w:w="1251"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19,7</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1995</w:t>
            </w:r>
          </w:p>
        </w:tc>
        <w:tc>
          <w:tcPr>
            <w:tcW w:w="1250"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10,1</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1990</w:t>
            </w:r>
          </w:p>
        </w:tc>
        <w:tc>
          <w:tcPr>
            <w:tcW w:w="1251"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21,6</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1998</w:t>
            </w:r>
          </w:p>
        </w:tc>
        <w:tc>
          <w:tcPr>
            <w:tcW w:w="1250"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10,5</w:t>
            </w: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1992</w:t>
            </w:r>
          </w:p>
        </w:tc>
        <w:tc>
          <w:tcPr>
            <w:tcW w:w="1251"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22,7</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r>
              <w:rPr>
                <w:rFonts w:ascii="Arial" w:hAnsi="Arial" w:cs="Arial"/>
                <w:sz w:val="18"/>
                <w:szCs w:val="18"/>
              </w:rPr>
              <w:t>2010</w:t>
            </w:r>
          </w:p>
        </w:tc>
        <w:tc>
          <w:tcPr>
            <w:tcW w:w="1250"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8,9</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2002</w:t>
            </w:r>
          </w:p>
        </w:tc>
        <w:tc>
          <w:tcPr>
            <w:tcW w:w="1251"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17,7</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p>
        </w:tc>
        <w:tc>
          <w:tcPr>
            <w:tcW w:w="1250"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2003</w:t>
            </w:r>
          </w:p>
        </w:tc>
        <w:tc>
          <w:tcPr>
            <w:tcW w:w="1251"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15,8</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p>
        </w:tc>
        <w:tc>
          <w:tcPr>
            <w:tcW w:w="1250"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2008</w:t>
            </w:r>
          </w:p>
        </w:tc>
        <w:tc>
          <w:tcPr>
            <w:tcW w:w="1251"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19,9</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p>
        </w:tc>
        <w:tc>
          <w:tcPr>
            <w:tcW w:w="1250"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sidRPr="00436049">
              <w:rPr>
                <w:rFonts w:ascii="Arial" w:hAnsi="Arial" w:cs="Arial"/>
                <w:sz w:val="18"/>
                <w:szCs w:val="18"/>
              </w:rPr>
              <w:t>2009</w:t>
            </w:r>
          </w:p>
        </w:tc>
        <w:tc>
          <w:tcPr>
            <w:tcW w:w="1251"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19,9</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p>
        </w:tc>
        <w:tc>
          <w:tcPr>
            <w:tcW w:w="1250" w:type="pct"/>
          </w:tcPr>
          <w:p w:rsidR="009D6CD2" w:rsidRPr="00436049" w:rsidRDefault="009D6CD2" w:rsidP="009F6C7A">
            <w:pPr>
              <w:spacing w:before="60" w:after="60"/>
              <w:ind w:right="147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Pr>
          <w:p w:rsidR="009D6CD2" w:rsidRPr="00436049" w:rsidRDefault="009D6CD2" w:rsidP="009F6C7A">
            <w:pPr>
              <w:spacing w:before="60" w:after="60"/>
              <w:ind w:right="1475"/>
              <w:jc w:val="right"/>
              <w:rPr>
                <w:rFonts w:ascii="Arial" w:hAnsi="Arial" w:cs="Arial"/>
                <w:sz w:val="18"/>
                <w:szCs w:val="18"/>
              </w:rPr>
            </w:pPr>
            <w:r>
              <w:rPr>
                <w:rFonts w:ascii="Arial" w:hAnsi="Arial" w:cs="Arial"/>
                <w:sz w:val="18"/>
                <w:szCs w:val="18"/>
              </w:rPr>
              <w:t>2011</w:t>
            </w:r>
          </w:p>
        </w:tc>
        <w:tc>
          <w:tcPr>
            <w:tcW w:w="1251" w:type="pct"/>
          </w:tcPr>
          <w:p w:rsidR="009D6CD2" w:rsidRPr="000B7961"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22.8</w:t>
            </w:r>
          </w:p>
        </w:tc>
        <w:tc>
          <w:tcPr>
            <w:cnfStyle w:val="000010000000" w:firstRow="0" w:lastRow="0" w:firstColumn="0" w:lastColumn="0" w:oddVBand="1" w:evenVBand="0" w:oddHBand="0" w:evenHBand="0" w:firstRowFirstColumn="0" w:firstRowLastColumn="0" w:lastRowFirstColumn="0" w:lastRowLastColumn="0"/>
            <w:tcW w:w="1250" w:type="pct"/>
          </w:tcPr>
          <w:p w:rsidR="009D6CD2" w:rsidRPr="00436049" w:rsidRDefault="009D6CD2" w:rsidP="009F6C7A">
            <w:pPr>
              <w:spacing w:before="60" w:after="60"/>
              <w:ind w:right="1475"/>
              <w:jc w:val="right"/>
              <w:rPr>
                <w:rFonts w:ascii="Arial" w:hAnsi="Arial" w:cs="Arial"/>
                <w:sz w:val="18"/>
                <w:szCs w:val="18"/>
              </w:rPr>
            </w:pPr>
          </w:p>
        </w:tc>
        <w:tc>
          <w:tcPr>
            <w:tcW w:w="1250" w:type="pct"/>
          </w:tcPr>
          <w:p w:rsidR="009D6CD2" w:rsidRPr="00436049" w:rsidRDefault="009D6CD2" w:rsidP="009F6C7A">
            <w:pPr>
              <w:spacing w:before="60" w:after="60"/>
              <w:ind w:right="147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9D6CD2" w:rsidRPr="00436049" w:rsidTr="009F6C7A">
        <w:tc>
          <w:tcPr>
            <w:cnfStyle w:val="000010000000" w:firstRow="0" w:lastRow="0" w:firstColumn="0" w:lastColumn="0" w:oddVBand="1" w:evenVBand="0" w:oddHBand="0" w:evenHBand="0" w:firstRowFirstColumn="0" w:firstRowLastColumn="0" w:lastRowFirstColumn="0" w:lastRowLastColumn="0"/>
            <w:tcW w:w="5000" w:type="pct"/>
            <w:gridSpan w:val="4"/>
          </w:tcPr>
          <w:p w:rsidR="009D6CD2" w:rsidRPr="00B37742" w:rsidRDefault="009D6CD2" w:rsidP="00952A6D">
            <w:pPr>
              <w:spacing w:before="60" w:after="60"/>
              <w:jc w:val="both"/>
              <w:rPr>
                <w:rFonts w:ascii="Arial" w:hAnsi="Arial" w:cs="Arial"/>
                <w:sz w:val="18"/>
                <w:szCs w:val="18"/>
              </w:rPr>
            </w:pPr>
            <w:r w:rsidRPr="00B37742">
              <w:rPr>
                <w:rFonts w:ascii="Arial" w:hAnsi="Arial" w:cs="Arial"/>
                <w:sz w:val="18"/>
                <w:szCs w:val="18"/>
                <w:vertAlign w:val="superscript"/>
              </w:rPr>
              <w:t xml:space="preserve">1) </w:t>
            </w:r>
            <w:r w:rsidRPr="00B37742">
              <w:rPr>
                <w:rFonts w:ascii="Arial" w:hAnsi="Arial" w:cs="Arial"/>
                <w:sz w:val="18"/>
                <w:szCs w:val="18"/>
              </w:rPr>
              <w:t xml:space="preserve">До 1995 года урожайность в первоначально-оприходованном весе на уточнённую посевную площадь, с 1995– в весе после доработки на убранную </w:t>
            </w:r>
            <w:r>
              <w:rPr>
                <w:rFonts w:ascii="Arial" w:hAnsi="Arial" w:cs="Arial"/>
                <w:sz w:val="18"/>
                <w:szCs w:val="18"/>
              </w:rPr>
              <w:t>п</w:t>
            </w:r>
            <w:r w:rsidRPr="00B37742">
              <w:rPr>
                <w:rFonts w:ascii="Arial" w:hAnsi="Arial" w:cs="Arial"/>
                <w:sz w:val="18"/>
                <w:szCs w:val="18"/>
              </w:rPr>
              <w:t>лощадь</w:t>
            </w:r>
          </w:p>
        </w:tc>
      </w:tr>
    </w:tbl>
    <w:p w:rsidR="009D6CD2" w:rsidRDefault="009D6CD2" w:rsidP="009D6CD2">
      <w:pPr>
        <w:ind w:firstLine="709"/>
        <w:jc w:val="both"/>
        <w:rPr>
          <w:rFonts w:ascii="Arial" w:hAnsi="Arial" w:cs="Arial"/>
          <w:sz w:val="22"/>
        </w:rPr>
      </w:pPr>
    </w:p>
    <w:p w:rsidR="009D6CD2" w:rsidRPr="007A420A" w:rsidRDefault="009D6CD2" w:rsidP="009D6CD2">
      <w:pPr>
        <w:pStyle w:val="aa"/>
        <w:spacing w:line="240" w:lineRule="auto"/>
        <w:rPr>
          <w:rFonts w:cs="Arial"/>
          <w:sz w:val="22"/>
        </w:rPr>
      </w:pPr>
      <w:r>
        <w:rPr>
          <w:rFonts w:cs="Arial"/>
          <w:sz w:val="22"/>
        </w:rPr>
        <w:t xml:space="preserve">Национальный проект позволил </w:t>
      </w:r>
      <w:proofErr w:type="spellStart"/>
      <w:r>
        <w:rPr>
          <w:rFonts w:cs="Arial"/>
          <w:sz w:val="22"/>
        </w:rPr>
        <w:t>сельхозорганизациям</w:t>
      </w:r>
      <w:proofErr w:type="spellEnd"/>
      <w:r>
        <w:rPr>
          <w:rFonts w:cs="Arial"/>
          <w:sz w:val="22"/>
        </w:rPr>
        <w:t xml:space="preserve"> начать кардинальное обновление основных производственных фондов, приобрести племенной скот. </w:t>
      </w:r>
      <w:proofErr w:type="gramStart"/>
      <w:r>
        <w:rPr>
          <w:rFonts w:cs="Arial"/>
          <w:sz w:val="22"/>
        </w:rPr>
        <w:t>Машино-технический</w:t>
      </w:r>
      <w:proofErr w:type="gramEnd"/>
      <w:r>
        <w:rPr>
          <w:rFonts w:cs="Arial"/>
          <w:sz w:val="22"/>
        </w:rPr>
        <w:t xml:space="preserve"> парк хозяйств пополняется новейшими образцами современной сельскохозяйственной техники, что позволяет использовать наиболее прогрессивные технологии земледелия.</w:t>
      </w:r>
      <w:r w:rsidRPr="007A420A">
        <w:rPr>
          <w:rFonts w:cs="Arial"/>
          <w:sz w:val="22"/>
        </w:rPr>
        <w:t xml:space="preserve"> Приобретение новой модернизированной сел</w:t>
      </w:r>
      <w:r w:rsidRPr="007A420A">
        <w:rPr>
          <w:rFonts w:cs="Arial"/>
          <w:sz w:val="22"/>
        </w:rPr>
        <w:t>ь</w:t>
      </w:r>
      <w:r w:rsidRPr="007A420A">
        <w:rPr>
          <w:rFonts w:cs="Arial"/>
          <w:sz w:val="22"/>
        </w:rPr>
        <w:t xml:space="preserve">скохозяйственной техники способствовало вводу в оборот залежных земель и увеличению всей посевной площади с 2007 года по 2011 год на 255,4 тыс. га, или на 34,7%. Прирост посевной площади за 2011 год составил 41,1 тыс. га, или  4,3%.  </w:t>
      </w:r>
    </w:p>
    <w:p w:rsidR="009D6CD2" w:rsidRPr="00787C14" w:rsidRDefault="009D6CD2" w:rsidP="009D6CD2">
      <w:pPr>
        <w:ind w:firstLine="709"/>
        <w:jc w:val="both"/>
        <w:rPr>
          <w:rFonts w:ascii="Arial" w:hAnsi="Arial" w:cs="Arial"/>
          <w:sz w:val="22"/>
        </w:rPr>
      </w:pPr>
      <w:r>
        <w:rPr>
          <w:rFonts w:ascii="Arial" w:hAnsi="Arial" w:cs="Arial"/>
          <w:sz w:val="22"/>
        </w:rPr>
        <w:t xml:space="preserve">Государственная поддержка из федерального и областного бюджетов позволила в 2006-2007 годах </w:t>
      </w:r>
      <w:proofErr w:type="spellStart"/>
      <w:r>
        <w:rPr>
          <w:rFonts w:ascii="Arial" w:hAnsi="Arial" w:cs="Arial"/>
          <w:sz w:val="22"/>
        </w:rPr>
        <w:t>сельхозорганизациям</w:t>
      </w:r>
      <w:proofErr w:type="spellEnd"/>
      <w:r>
        <w:rPr>
          <w:rFonts w:ascii="Arial" w:hAnsi="Arial" w:cs="Arial"/>
          <w:sz w:val="22"/>
        </w:rPr>
        <w:t xml:space="preserve"> прио</w:t>
      </w:r>
      <w:r>
        <w:rPr>
          <w:rFonts w:ascii="Arial" w:hAnsi="Arial" w:cs="Arial"/>
          <w:sz w:val="22"/>
        </w:rPr>
        <w:t>б</w:t>
      </w:r>
      <w:r>
        <w:rPr>
          <w:rFonts w:ascii="Arial" w:hAnsi="Arial" w:cs="Arial"/>
          <w:sz w:val="22"/>
        </w:rPr>
        <w:t xml:space="preserve">рести 191 трактор, 119 зерноуборочных комбайнов. В 2009-1010 годах сельскохозяйственные организации (без </w:t>
      </w:r>
      <w:proofErr w:type="spellStart"/>
      <w:r>
        <w:rPr>
          <w:rFonts w:ascii="Arial" w:hAnsi="Arial" w:cs="Arial"/>
          <w:sz w:val="22"/>
        </w:rPr>
        <w:t>микропредприятий</w:t>
      </w:r>
      <w:proofErr w:type="spellEnd"/>
      <w:r>
        <w:rPr>
          <w:rFonts w:ascii="Arial" w:hAnsi="Arial" w:cs="Arial"/>
          <w:sz w:val="22"/>
        </w:rPr>
        <w:t>) пр</w:t>
      </w:r>
      <w:r>
        <w:rPr>
          <w:rFonts w:ascii="Arial" w:hAnsi="Arial" w:cs="Arial"/>
          <w:sz w:val="22"/>
        </w:rPr>
        <w:t>и</w:t>
      </w:r>
      <w:r>
        <w:rPr>
          <w:rFonts w:ascii="Arial" w:hAnsi="Arial" w:cs="Arial"/>
          <w:sz w:val="22"/>
        </w:rPr>
        <w:t>обрели 104 трактора и 64 зерноуборочных комбайна, в 2011 году  -  78 тракторов  и  53 зерноуборочных  комбайна.</w:t>
      </w:r>
    </w:p>
    <w:p w:rsidR="009D6CD2" w:rsidRPr="00446563" w:rsidRDefault="009D6CD2" w:rsidP="009D6CD2">
      <w:pPr>
        <w:pStyle w:val="aa"/>
        <w:spacing w:line="240" w:lineRule="auto"/>
        <w:rPr>
          <w:color w:val="000000"/>
          <w:sz w:val="24"/>
          <w:szCs w:val="24"/>
        </w:rPr>
      </w:pPr>
      <w:r w:rsidRPr="00787C14">
        <w:rPr>
          <w:rFonts w:cs="Arial"/>
          <w:sz w:val="22"/>
        </w:rPr>
        <w:lastRenderedPageBreak/>
        <w:t>Применение ресурсосберегающих технологий, новые широкозахватные почвообрабатывающие комплексы, одновременно выпо</w:t>
      </w:r>
      <w:r w:rsidRPr="00787C14">
        <w:rPr>
          <w:rFonts w:cs="Arial"/>
          <w:sz w:val="22"/>
        </w:rPr>
        <w:t>л</w:t>
      </w:r>
      <w:r w:rsidRPr="00787C14">
        <w:rPr>
          <w:rFonts w:cs="Arial"/>
          <w:sz w:val="22"/>
        </w:rPr>
        <w:t>няющие несколько операций по обработке почвы,  компенсируют нехватку техники и позволяют своевременно и качественно обрабат</w:t>
      </w:r>
      <w:r w:rsidRPr="00787C14">
        <w:rPr>
          <w:rFonts w:cs="Arial"/>
          <w:sz w:val="22"/>
        </w:rPr>
        <w:t>ы</w:t>
      </w:r>
      <w:r w:rsidRPr="00787C14">
        <w:rPr>
          <w:rFonts w:cs="Arial"/>
          <w:sz w:val="22"/>
        </w:rPr>
        <w:t>вать почву.</w:t>
      </w:r>
      <w:r w:rsidR="00E82093">
        <w:rPr>
          <w:rFonts w:cs="Arial"/>
          <w:sz w:val="22"/>
        </w:rPr>
        <w:t xml:space="preserve"> </w:t>
      </w:r>
      <w:r w:rsidRPr="00787C14">
        <w:rPr>
          <w:rFonts w:cs="Arial"/>
          <w:sz w:val="22"/>
        </w:rPr>
        <w:t>Хозяйствами области приобретены комбайны, которые способны убирать зерно повышенной влажности при любых погодных условиях. Благодаря их безостановочной  работе, удается убирать зерновые меньшим количеством техники и в более</w:t>
      </w:r>
      <w:r w:rsidRPr="00446563">
        <w:rPr>
          <w:color w:val="000000"/>
          <w:sz w:val="24"/>
          <w:szCs w:val="24"/>
        </w:rPr>
        <w:t xml:space="preserve"> </w:t>
      </w:r>
      <w:r w:rsidRPr="00E82093">
        <w:rPr>
          <w:color w:val="000000"/>
          <w:sz w:val="22"/>
          <w:szCs w:val="22"/>
        </w:rPr>
        <w:t>короткий срок</w:t>
      </w:r>
      <w:r w:rsidRPr="00E82093">
        <w:rPr>
          <w:color w:val="000000"/>
          <w:sz w:val="24"/>
          <w:szCs w:val="24"/>
        </w:rPr>
        <w:t>.</w:t>
      </w:r>
      <w:r w:rsidRPr="00446563">
        <w:rPr>
          <w:color w:val="000000"/>
          <w:sz w:val="24"/>
          <w:szCs w:val="24"/>
        </w:rPr>
        <w:t xml:space="preserve"> </w:t>
      </w:r>
    </w:p>
    <w:p w:rsidR="009D6CD2" w:rsidRPr="00A57EB8" w:rsidRDefault="009D6CD2" w:rsidP="009D6CD2">
      <w:pPr>
        <w:widowControl w:val="0"/>
        <w:ind w:firstLine="720"/>
        <w:jc w:val="both"/>
        <w:rPr>
          <w:rFonts w:ascii="Arial" w:hAnsi="Arial" w:cs="Arial"/>
          <w:bCs/>
          <w:sz w:val="22"/>
        </w:rPr>
      </w:pPr>
      <w:r>
        <w:rPr>
          <w:rFonts w:ascii="Arial" w:hAnsi="Arial" w:cs="Arial"/>
          <w:sz w:val="22"/>
        </w:rPr>
        <w:t>Сокращение поголовья продуктивного скота, трудности в производстве и реализации животноводческой продукции обусловили некоторое уменьшение производства основных продуктов животноводства за последние годы. Однако в результате мер, принятых в ра</w:t>
      </w:r>
      <w:r>
        <w:rPr>
          <w:rFonts w:ascii="Arial" w:hAnsi="Arial" w:cs="Arial"/>
          <w:sz w:val="22"/>
        </w:rPr>
        <w:t>м</w:t>
      </w:r>
      <w:r>
        <w:rPr>
          <w:rFonts w:ascii="Arial" w:hAnsi="Arial" w:cs="Arial"/>
          <w:sz w:val="22"/>
        </w:rPr>
        <w:t xml:space="preserve">ках реализации приоритетного национального проекта развития АПК в 2011 году </w:t>
      </w:r>
      <w:r>
        <w:rPr>
          <w:rFonts w:ascii="Arial" w:hAnsi="Arial" w:cs="Arial"/>
          <w:bCs/>
          <w:sz w:val="22"/>
        </w:rPr>
        <w:t xml:space="preserve">удалось </w:t>
      </w:r>
      <w:r w:rsidRPr="002B0A9C">
        <w:rPr>
          <w:rFonts w:ascii="Arial" w:hAnsi="Arial" w:cs="Arial"/>
          <w:bCs/>
          <w:sz w:val="22"/>
        </w:rPr>
        <w:t>сохранить положительные результаты в живо</w:t>
      </w:r>
      <w:r w:rsidRPr="002B0A9C">
        <w:rPr>
          <w:rFonts w:ascii="Arial" w:hAnsi="Arial" w:cs="Arial"/>
          <w:bCs/>
          <w:sz w:val="22"/>
        </w:rPr>
        <w:t>т</w:t>
      </w:r>
      <w:r w:rsidRPr="002B0A9C">
        <w:rPr>
          <w:rFonts w:ascii="Arial" w:hAnsi="Arial" w:cs="Arial"/>
          <w:bCs/>
          <w:sz w:val="22"/>
        </w:rPr>
        <w:t>новодстве.</w:t>
      </w:r>
      <w:r w:rsidR="00E82093">
        <w:rPr>
          <w:rFonts w:ascii="Arial" w:hAnsi="Arial" w:cs="Arial"/>
          <w:bCs/>
          <w:sz w:val="22"/>
        </w:rPr>
        <w:t xml:space="preserve"> </w:t>
      </w:r>
      <w:r>
        <w:rPr>
          <w:rFonts w:ascii="Arial" w:hAnsi="Arial" w:cs="Arial"/>
          <w:sz w:val="22"/>
        </w:rPr>
        <w:t xml:space="preserve">Индекс производства продукции животноводства в 2011 году по хозяйствам всех категорий составил 103,8% против  98,4% в 2010 году. </w:t>
      </w:r>
    </w:p>
    <w:p w:rsidR="009D6CD2" w:rsidRPr="006A553D" w:rsidRDefault="009D6CD2" w:rsidP="009D6CD2">
      <w:pPr>
        <w:ind w:firstLine="709"/>
        <w:jc w:val="both"/>
        <w:rPr>
          <w:rFonts w:ascii="Arial" w:hAnsi="Arial" w:cs="Arial"/>
          <w:sz w:val="22"/>
        </w:rPr>
      </w:pPr>
      <w:r>
        <w:rPr>
          <w:rFonts w:ascii="Arial" w:hAnsi="Arial" w:cs="Arial"/>
          <w:sz w:val="22"/>
        </w:rPr>
        <w:t>В хозяйствах всех сельхозпроизводителей в 2011 году объём производства мяса скота и птицы (в живом весе) против уровня прошлого года  составил 112,2%,  молока – 100,2 и яиц – 105,3%.</w:t>
      </w:r>
    </w:p>
    <w:p w:rsidR="009D6CD2" w:rsidRDefault="009D6CD2" w:rsidP="009D6CD2">
      <w:pPr>
        <w:pStyle w:val="8"/>
        <w:rPr>
          <w:sz w:val="22"/>
        </w:rPr>
      </w:pPr>
      <w:r>
        <w:rPr>
          <w:sz w:val="22"/>
        </w:rPr>
        <w:t>ЗЕМЕЛЬНЫЙ ФОНД ОБЛАСТИ</w:t>
      </w:r>
    </w:p>
    <w:p w:rsidR="009D6CD2" w:rsidRDefault="009D6CD2" w:rsidP="009D6CD2">
      <w:pPr>
        <w:jc w:val="center"/>
        <w:rPr>
          <w:rFonts w:ascii="Arial" w:hAnsi="Arial" w:cs="Arial"/>
          <w:sz w:val="22"/>
        </w:rPr>
      </w:pPr>
      <w:r>
        <w:rPr>
          <w:rFonts w:ascii="Arial" w:hAnsi="Arial" w:cs="Arial"/>
          <w:sz w:val="22"/>
        </w:rPr>
        <w:t>(тыс. гектаров)</w:t>
      </w:r>
    </w:p>
    <w:tbl>
      <w:tblPr>
        <w:tblStyle w:val="-11"/>
        <w:tblW w:w="5000" w:type="pct"/>
        <w:tblLook w:val="0000" w:firstRow="0" w:lastRow="0" w:firstColumn="0" w:lastColumn="0" w:noHBand="0" w:noVBand="0"/>
      </w:tblPr>
      <w:tblGrid>
        <w:gridCol w:w="2153"/>
        <w:gridCol w:w="3002"/>
        <w:gridCol w:w="3179"/>
        <w:gridCol w:w="3197"/>
        <w:gridCol w:w="2973"/>
      </w:tblGrid>
      <w:tr w:rsidR="009D6CD2" w:rsidRPr="00436049" w:rsidTr="009F6C7A">
        <w:trPr>
          <w:cnfStyle w:val="000000100000" w:firstRow="0" w:lastRow="0" w:firstColumn="0" w:lastColumn="0" w:oddVBand="0" w:evenVBand="0" w:oddHBand="1" w:evenHBand="0" w:firstRowFirstColumn="0" w:firstRowLastColumn="0" w:lastRowFirstColumn="0" w:lastRowLastColumn="0"/>
          <w:trHeight w:val="324"/>
        </w:trPr>
        <w:tc>
          <w:tcPr>
            <w:cnfStyle w:val="000010000000" w:firstRow="0" w:lastRow="0" w:firstColumn="0" w:lastColumn="0" w:oddVBand="1" w:evenVBand="0" w:oddHBand="0" w:evenHBand="0" w:firstRowFirstColumn="0" w:firstRowLastColumn="0" w:lastRowFirstColumn="0" w:lastRowLastColumn="0"/>
            <w:tcW w:w="742" w:type="pct"/>
            <w:vMerge w:val="restart"/>
            <w:shd w:val="clear" w:color="auto" w:fill="C6D9F1" w:themeFill="text2" w:themeFillTint="33"/>
          </w:tcPr>
          <w:p w:rsidR="009D6CD2" w:rsidRPr="00436049" w:rsidRDefault="009D6CD2" w:rsidP="009D6CD2">
            <w:pPr>
              <w:spacing w:before="60" w:after="60"/>
              <w:jc w:val="center"/>
              <w:rPr>
                <w:rFonts w:ascii="Arial" w:hAnsi="Arial" w:cs="Arial"/>
                <w:sz w:val="18"/>
                <w:szCs w:val="18"/>
              </w:rPr>
            </w:pPr>
          </w:p>
        </w:tc>
        <w:tc>
          <w:tcPr>
            <w:tcW w:w="1035" w:type="pct"/>
            <w:vMerge w:val="restart"/>
            <w:shd w:val="clear" w:color="auto" w:fill="C6D9F1" w:themeFill="text2" w:themeFillTint="33"/>
          </w:tcPr>
          <w:p w:rsidR="009D6CD2" w:rsidRPr="00436049" w:rsidRDefault="009D6CD2" w:rsidP="009D6CD2">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Общая земельная площадь по данным земельного учёта</w:t>
            </w:r>
          </w:p>
        </w:tc>
        <w:tc>
          <w:tcPr>
            <w:cnfStyle w:val="000010000000" w:firstRow="0" w:lastRow="0" w:firstColumn="0" w:lastColumn="0" w:oddVBand="1" w:evenVBand="0" w:oddHBand="0" w:evenHBand="0" w:firstRowFirstColumn="0" w:firstRowLastColumn="0" w:lastRowFirstColumn="0" w:lastRowLastColumn="0"/>
            <w:tcW w:w="1096" w:type="pct"/>
            <w:vMerge w:val="restart"/>
            <w:shd w:val="clear" w:color="auto" w:fill="C6D9F1" w:themeFill="text2" w:themeFillTint="33"/>
          </w:tcPr>
          <w:p w:rsidR="009D6CD2" w:rsidRPr="00C45BEF" w:rsidRDefault="009D6CD2" w:rsidP="009D6CD2">
            <w:pPr>
              <w:spacing w:before="60" w:after="60"/>
              <w:ind w:left="113"/>
              <w:jc w:val="center"/>
              <w:rPr>
                <w:rFonts w:ascii="Arial" w:hAnsi="Arial" w:cs="Arial"/>
                <w:sz w:val="18"/>
                <w:szCs w:val="18"/>
              </w:rPr>
            </w:pPr>
            <w:r w:rsidRPr="00436049">
              <w:rPr>
                <w:rFonts w:ascii="Arial" w:hAnsi="Arial" w:cs="Arial"/>
                <w:sz w:val="18"/>
                <w:szCs w:val="18"/>
              </w:rPr>
              <w:t>Земли, используемые земл</w:t>
            </w:r>
            <w:r w:rsidRPr="00436049">
              <w:rPr>
                <w:rFonts w:ascii="Arial" w:hAnsi="Arial" w:cs="Arial"/>
                <w:sz w:val="18"/>
                <w:szCs w:val="18"/>
              </w:rPr>
              <w:t>е</w:t>
            </w:r>
            <w:r w:rsidRPr="00436049">
              <w:rPr>
                <w:rFonts w:ascii="Arial" w:hAnsi="Arial" w:cs="Arial"/>
                <w:sz w:val="18"/>
                <w:szCs w:val="18"/>
              </w:rPr>
              <w:t>пользователями, занимающим</w:t>
            </w:r>
            <w:r w:rsidRPr="00436049">
              <w:rPr>
                <w:rFonts w:ascii="Arial" w:hAnsi="Arial" w:cs="Arial"/>
                <w:sz w:val="18"/>
                <w:szCs w:val="18"/>
              </w:rPr>
              <w:t>и</w:t>
            </w:r>
            <w:r w:rsidRPr="00436049">
              <w:rPr>
                <w:rFonts w:ascii="Arial" w:hAnsi="Arial" w:cs="Arial"/>
                <w:sz w:val="18"/>
                <w:szCs w:val="18"/>
              </w:rPr>
              <w:t>ся сельскохозяйственным прои</w:t>
            </w:r>
            <w:r w:rsidRPr="00436049">
              <w:rPr>
                <w:rFonts w:ascii="Arial" w:hAnsi="Arial" w:cs="Arial"/>
                <w:sz w:val="18"/>
                <w:szCs w:val="18"/>
              </w:rPr>
              <w:t>з</w:t>
            </w:r>
            <w:r w:rsidRPr="00436049">
              <w:rPr>
                <w:rFonts w:ascii="Arial" w:hAnsi="Arial" w:cs="Arial"/>
                <w:sz w:val="18"/>
                <w:szCs w:val="18"/>
              </w:rPr>
              <w:t>водством</w:t>
            </w:r>
            <w:proofErr w:type="gramStart"/>
            <w:r w:rsidRPr="00C45BEF">
              <w:rPr>
                <w:rFonts w:ascii="Arial" w:hAnsi="Arial" w:cs="Arial"/>
                <w:sz w:val="18"/>
                <w:szCs w:val="18"/>
                <w:vertAlign w:val="superscript"/>
              </w:rPr>
              <w:t>1</w:t>
            </w:r>
            <w:proofErr w:type="gramEnd"/>
            <w:r w:rsidRPr="00C45BEF">
              <w:rPr>
                <w:rFonts w:ascii="Arial" w:hAnsi="Arial" w:cs="Arial"/>
                <w:sz w:val="18"/>
                <w:szCs w:val="18"/>
                <w:vertAlign w:val="superscript"/>
              </w:rPr>
              <w:t>)</w:t>
            </w:r>
          </w:p>
        </w:tc>
        <w:tc>
          <w:tcPr>
            <w:tcW w:w="2127" w:type="pct"/>
            <w:gridSpan w:val="2"/>
            <w:shd w:val="clear" w:color="auto" w:fill="C6D9F1" w:themeFill="text2" w:themeFillTint="33"/>
          </w:tcPr>
          <w:p w:rsidR="009D6CD2" w:rsidRPr="00436049" w:rsidRDefault="009D6CD2" w:rsidP="009D6CD2">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В том числе</w:t>
            </w:r>
          </w:p>
        </w:tc>
      </w:tr>
      <w:tr w:rsidR="009D6CD2" w:rsidRPr="00436049" w:rsidTr="009F6C7A">
        <w:trPr>
          <w:trHeight w:val="567"/>
        </w:trPr>
        <w:tc>
          <w:tcPr>
            <w:cnfStyle w:val="000010000000" w:firstRow="0" w:lastRow="0" w:firstColumn="0" w:lastColumn="0" w:oddVBand="1" w:evenVBand="0" w:oddHBand="0" w:evenHBand="0" w:firstRowFirstColumn="0" w:firstRowLastColumn="0" w:lastRowFirstColumn="0" w:lastRowLastColumn="0"/>
            <w:tcW w:w="742" w:type="pct"/>
            <w:vMerge/>
            <w:shd w:val="clear" w:color="auto" w:fill="C6D9F1" w:themeFill="text2" w:themeFillTint="33"/>
          </w:tcPr>
          <w:p w:rsidR="009D6CD2" w:rsidRPr="00436049" w:rsidRDefault="009D6CD2" w:rsidP="009D6CD2">
            <w:pPr>
              <w:spacing w:before="60" w:after="60"/>
              <w:jc w:val="center"/>
              <w:rPr>
                <w:rFonts w:ascii="Arial" w:hAnsi="Arial" w:cs="Arial"/>
                <w:sz w:val="18"/>
                <w:szCs w:val="18"/>
              </w:rPr>
            </w:pPr>
          </w:p>
        </w:tc>
        <w:tc>
          <w:tcPr>
            <w:tcW w:w="1035" w:type="pct"/>
            <w:vMerge/>
            <w:shd w:val="clear" w:color="auto" w:fill="C6D9F1" w:themeFill="text2" w:themeFillTint="33"/>
          </w:tcPr>
          <w:p w:rsidR="009D6CD2" w:rsidRPr="00436049" w:rsidRDefault="009D6CD2" w:rsidP="009D6CD2">
            <w:pPr>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1096" w:type="pct"/>
            <w:vMerge/>
            <w:shd w:val="clear" w:color="auto" w:fill="C6D9F1" w:themeFill="text2" w:themeFillTint="33"/>
          </w:tcPr>
          <w:p w:rsidR="009D6CD2" w:rsidRPr="00436049" w:rsidRDefault="009D6CD2" w:rsidP="009D6CD2">
            <w:pPr>
              <w:spacing w:before="60" w:after="60"/>
              <w:jc w:val="center"/>
              <w:rPr>
                <w:rFonts w:ascii="Arial" w:hAnsi="Arial" w:cs="Arial"/>
                <w:sz w:val="18"/>
                <w:szCs w:val="18"/>
              </w:rPr>
            </w:pPr>
          </w:p>
        </w:tc>
        <w:tc>
          <w:tcPr>
            <w:tcW w:w="1102" w:type="pct"/>
            <w:shd w:val="clear" w:color="auto" w:fill="C6D9F1" w:themeFill="text2" w:themeFillTint="33"/>
          </w:tcPr>
          <w:p w:rsidR="009D6CD2" w:rsidRPr="00436049" w:rsidRDefault="009D6CD2" w:rsidP="009D6CD2">
            <w:pPr>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все сельскохозяйственные угодья</w:t>
            </w:r>
          </w:p>
        </w:tc>
        <w:tc>
          <w:tcPr>
            <w:cnfStyle w:val="000010000000" w:firstRow="0" w:lastRow="0" w:firstColumn="0" w:lastColumn="0" w:oddVBand="1" w:evenVBand="0" w:oddHBand="0" w:evenHBand="0" w:firstRowFirstColumn="0" w:firstRowLastColumn="0" w:lastRowFirstColumn="0" w:lastRowLastColumn="0"/>
            <w:tcW w:w="1025" w:type="pct"/>
            <w:shd w:val="clear" w:color="auto" w:fill="C6D9F1" w:themeFill="text2" w:themeFillTint="33"/>
          </w:tcPr>
          <w:p w:rsidR="009D6CD2" w:rsidRPr="00436049" w:rsidRDefault="009D6CD2" w:rsidP="009D6CD2">
            <w:pPr>
              <w:spacing w:before="60" w:after="60"/>
              <w:jc w:val="center"/>
              <w:rPr>
                <w:rFonts w:ascii="Arial" w:hAnsi="Arial" w:cs="Arial"/>
                <w:sz w:val="18"/>
                <w:szCs w:val="18"/>
              </w:rPr>
            </w:pPr>
            <w:r w:rsidRPr="00436049">
              <w:rPr>
                <w:rFonts w:ascii="Arial" w:hAnsi="Arial" w:cs="Arial"/>
                <w:sz w:val="18"/>
                <w:szCs w:val="18"/>
              </w:rPr>
              <w:t>из них пашня</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Height w:val="242"/>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spacing w:before="40" w:after="40"/>
              <w:ind w:right="113"/>
              <w:jc w:val="center"/>
              <w:rPr>
                <w:rFonts w:ascii="Arial" w:hAnsi="Arial" w:cs="Arial"/>
                <w:sz w:val="18"/>
                <w:szCs w:val="18"/>
              </w:rPr>
            </w:pPr>
            <w:r w:rsidRPr="00436049">
              <w:rPr>
                <w:rFonts w:ascii="Arial" w:hAnsi="Arial" w:cs="Arial"/>
                <w:sz w:val="18"/>
                <w:szCs w:val="18"/>
              </w:rPr>
              <w:t>1945</w:t>
            </w:r>
          </w:p>
        </w:tc>
        <w:tc>
          <w:tcPr>
            <w:tcW w:w="1035" w:type="pct"/>
          </w:tcPr>
          <w:p w:rsidR="009D6CD2" w:rsidRPr="00436049" w:rsidRDefault="009D6CD2" w:rsidP="00952A6D">
            <w:pPr>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3704,4</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DE054D" w:rsidRDefault="009D6CD2" w:rsidP="00952A6D">
            <w:pPr>
              <w:tabs>
                <w:tab w:val="right" w:pos="5033"/>
              </w:tabs>
              <w:spacing w:before="40" w:after="40"/>
              <w:ind w:right="-116"/>
              <w:jc w:val="center"/>
              <w:rPr>
                <w:rFonts w:ascii="Arial" w:hAnsi="Arial" w:cs="Arial"/>
                <w:sz w:val="18"/>
                <w:szCs w:val="18"/>
                <w:lang w:val="en-US"/>
              </w:rPr>
            </w:pPr>
            <w:r w:rsidRPr="00DE054D">
              <w:rPr>
                <w:rFonts w:ascii="Arial" w:hAnsi="Arial" w:cs="Arial"/>
                <w:sz w:val="18"/>
                <w:szCs w:val="18"/>
                <w:lang w:val="en-US"/>
              </w:rPr>
              <w:t>…</w:t>
            </w:r>
          </w:p>
        </w:tc>
        <w:tc>
          <w:tcPr>
            <w:tcW w:w="1102" w:type="pct"/>
          </w:tcPr>
          <w:p w:rsidR="009D6CD2" w:rsidRPr="00DE054D" w:rsidRDefault="009D6CD2" w:rsidP="00952A6D">
            <w:pPr>
              <w:tabs>
                <w:tab w:val="right" w:pos="5033"/>
              </w:tabs>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sidRPr="00DE054D">
              <w:rPr>
                <w:rFonts w:ascii="Arial" w:hAnsi="Arial" w:cs="Arial"/>
                <w:sz w:val="18"/>
                <w:szCs w:val="18"/>
                <w:lang w:val="en-US"/>
              </w:rPr>
              <w:t>…</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DE054D" w:rsidRDefault="009D6CD2" w:rsidP="00952A6D">
            <w:pPr>
              <w:spacing w:before="40" w:after="40"/>
              <w:ind w:right="-116"/>
              <w:jc w:val="center"/>
              <w:rPr>
                <w:rFonts w:ascii="Arial" w:hAnsi="Arial" w:cs="Arial"/>
                <w:sz w:val="18"/>
                <w:szCs w:val="18"/>
                <w:lang w:val="en-US"/>
              </w:rPr>
            </w:pPr>
            <w:r w:rsidRPr="00DE054D">
              <w:rPr>
                <w:rFonts w:ascii="Arial" w:hAnsi="Arial" w:cs="Arial"/>
                <w:sz w:val="18"/>
                <w:szCs w:val="18"/>
                <w:lang w:val="en-US"/>
              </w:rPr>
              <w:t>…</w:t>
            </w:r>
          </w:p>
        </w:tc>
      </w:tr>
      <w:tr w:rsidR="009D6CD2" w:rsidRPr="00436049" w:rsidTr="009F6C7A">
        <w:trPr>
          <w:trHeight w:val="242"/>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spacing w:before="40" w:after="40"/>
              <w:ind w:right="113"/>
              <w:jc w:val="center"/>
              <w:rPr>
                <w:rFonts w:ascii="Arial" w:hAnsi="Arial" w:cs="Arial"/>
                <w:sz w:val="18"/>
                <w:szCs w:val="18"/>
              </w:rPr>
            </w:pPr>
            <w:r>
              <w:rPr>
                <w:rFonts w:ascii="Arial" w:hAnsi="Arial" w:cs="Arial"/>
                <w:sz w:val="18"/>
                <w:szCs w:val="18"/>
              </w:rPr>
              <w:t>1950</w:t>
            </w:r>
          </w:p>
        </w:tc>
        <w:tc>
          <w:tcPr>
            <w:tcW w:w="1035" w:type="pct"/>
          </w:tcPr>
          <w:p w:rsidR="009D6CD2" w:rsidRPr="00436049" w:rsidRDefault="009D6CD2" w:rsidP="00952A6D">
            <w:pPr>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3714,4</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DE054D" w:rsidRDefault="009D6CD2" w:rsidP="00952A6D">
            <w:pPr>
              <w:tabs>
                <w:tab w:val="right" w:pos="5033"/>
              </w:tabs>
              <w:spacing w:before="40" w:after="40"/>
              <w:ind w:right="-116"/>
              <w:jc w:val="center"/>
              <w:rPr>
                <w:rFonts w:ascii="Arial" w:hAnsi="Arial" w:cs="Arial"/>
                <w:sz w:val="18"/>
                <w:szCs w:val="18"/>
                <w:lang w:val="en-US"/>
              </w:rPr>
            </w:pPr>
            <w:r w:rsidRPr="00DE054D">
              <w:rPr>
                <w:rFonts w:ascii="Arial" w:hAnsi="Arial" w:cs="Arial"/>
                <w:sz w:val="18"/>
                <w:szCs w:val="18"/>
                <w:lang w:val="en-US"/>
              </w:rPr>
              <w:t>…</w:t>
            </w:r>
          </w:p>
        </w:tc>
        <w:tc>
          <w:tcPr>
            <w:tcW w:w="1102" w:type="pct"/>
          </w:tcPr>
          <w:p w:rsidR="009D6CD2" w:rsidRPr="00DE054D" w:rsidRDefault="009D6CD2" w:rsidP="00952A6D">
            <w:pPr>
              <w:tabs>
                <w:tab w:val="right" w:pos="5033"/>
              </w:tabs>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DE054D">
              <w:rPr>
                <w:rFonts w:ascii="Arial" w:hAnsi="Arial" w:cs="Arial"/>
                <w:sz w:val="18"/>
                <w:szCs w:val="18"/>
                <w:lang w:val="en-US"/>
              </w:rPr>
              <w:t>…</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DE054D" w:rsidRDefault="009D6CD2" w:rsidP="00952A6D">
            <w:pPr>
              <w:spacing w:before="40" w:after="40"/>
              <w:ind w:right="-116"/>
              <w:jc w:val="center"/>
              <w:rPr>
                <w:rFonts w:ascii="Arial" w:hAnsi="Arial" w:cs="Arial"/>
                <w:sz w:val="18"/>
                <w:szCs w:val="18"/>
                <w:lang w:val="en-US"/>
              </w:rPr>
            </w:pPr>
            <w:r w:rsidRPr="00DE054D">
              <w:rPr>
                <w:rFonts w:ascii="Arial" w:hAnsi="Arial" w:cs="Arial"/>
                <w:sz w:val="18"/>
                <w:szCs w:val="18"/>
                <w:lang w:val="en-US"/>
              </w:rPr>
              <w:t>…</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Height w:val="242"/>
        </w:trPr>
        <w:tc>
          <w:tcPr>
            <w:cnfStyle w:val="000010000000" w:firstRow="0" w:lastRow="0" w:firstColumn="0" w:lastColumn="0" w:oddVBand="1" w:evenVBand="0" w:oddHBand="0" w:evenHBand="0" w:firstRowFirstColumn="0" w:firstRowLastColumn="0" w:lastRowFirstColumn="0" w:lastRowLastColumn="0"/>
            <w:tcW w:w="742" w:type="pct"/>
          </w:tcPr>
          <w:p w:rsidR="009D6CD2" w:rsidRDefault="009D6CD2" w:rsidP="00952A6D">
            <w:pPr>
              <w:spacing w:before="40" w:after="40"/>
              <w:ind w:right="113"/>
              <w:jc w:val="center"/>
              <w:rPr>
                <w:rFonts w:ascii="Arial" w:hAnsi="Arial" w:cs="Arial"/>
                <w:sz w:val="18"/>
                <w:szCs w:val="18"/>
              </w:rPr>
            </w:pPr>
            <w:r>
              <w:rPr>
                <w:rFonts w:ascii="Arial" w:hAnsi="Arial" w:cs="Arial"/>
                <w:sz w:val="18"/>
                <w:szCs w:val="18"/>
              </w:rPr>
              <w:t>1955</w:t>
            </w:r>
          </w:p>
        </w:tc>
        <w:tc>
          <w:tcPr>
            <w:tcW w:w="1035" w:type="pct"/>
          </w:tcPr>
          <w:p w:rsidR="009D6CD2" w:rsidRPr="00436049" w:rsidRDefault="009D6CD2" w:rsidP="00952A6D">
            <w:pPr>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3712,3</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2444,6</w:t>
            </w:r>
          </w:p>
        </w:tc>
        <w:tc>
          <w:tcPr>
            <w:tcW w:w="1102" w:type="pct"/>
          </w:tcPr>
          <w:p w:rsidR="009D6CD2" w:rsidRPr="00436049" w:rsidRDefault="009D6CD2" w:rsidP="00952A6D">
            <w:pPr>
              <w:tabs>
                <w:tab w:val="right" w:pos="5033"/>
              </w:tabs>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2186,9</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1813,7</w:t>
            </w:r>
          </w:p>
        </w:tc>
      </w:tr>
      <w:tr w:rsidR="009D6CD2" w:rsidRPr="00436049" w:rsidTr="009F6C7A">
        <w:trPr>
          <w:trHeight w:val="161"/>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spacing w:before="40" w:after="40"/>
              <w:ind w:right="113"/>
              <w:jc w:val="center"/>
              <w:rPr>
                <w:rFonts w:ascii="Arial" w:hAnsi="Arial" w:cs="Arial"/>
                <w:sz w:val="18"/>
                <w:szCs w:val="18"/>
              </w:rPr>
            </w:pPr>
            <w:r w:rsidRPr="00436049">
              <w:rPr>
                <w:rFonts w:ascii="Arial" w:hAnsi="Arial" w:cs="Arial"/>
                <w:sz w:val="18"/>
                <w:szCs w:val="18"/>
              </w:rPr>
              <w:t>1960</w:t>
            </w:r>
          </w:p>
        </w:tc>
        <w:tc>
          <w:tcPr>
            <w:tcW w:w="1035" w:type="pct"/>
          </w:tcPr>
          <w:p w:rsidR="009D6CD2" w:rsidRPr="00436049" w:rsidRDefault="009D6CD2" w:rsidP="00952A6D">
            <w:pPr>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3718,2</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2498,1</w:t>
            </w:r>
          </w:p>
        </w:tc>
        <w:tc>
          <w:tcPr>
            <w:tcW w:w="1102" w:type="pct"/>
          </w:tcPr>
          <w:p w:rsidR="009D6CD2" w:rsidRPr="00436049" w:rsidRDefault="009D6CD2" w:rsidP="00952A6D">
            <w:pPr>
              <w:tabs>
                <w:tab w:val="right" w:pos="5033"/>
              </w:tabs>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2250,0</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1867,0</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Height w:val="161"/>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spacing w:before="40" w:after="40"/>
              <w:ind w:right="113"/>
              <w:jc w:val="center"/>
              <w:rPr>
                <w:rFonts w:ascii="Arial" w:hAnsi="Arial" w:cs="Arial"/>
                <w:sz w:val="18"/>
                <w:szCs w:val="18"/>
              </w:rPr>
            </w:pPr>
            <w:r>
              <w:rPr>
                <w:rFonts w:ascii="Arial" w:hAnsi="Arial" w:cs="Arial"/>
                <w:sz w:val="18"/>
                <w:szCs w:val="18"/>
              </w:rPr>
              <w:t>1965</w:t>
            </w:r>
          </w:p>
        </w:tc>
        <w:tc>
          <w:tcPr>
            <w:tcW w:w="1035" w:type="pct"/>
          </w:tcPr>
          <w:p w:rsidR="009D6CD2" w:rsidRPr="00436049" w:rsidRDefault="009D6CD2" w:rsidP="00952A6D">
            <w:pPr>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2718,1</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2485,4</w:t>
            </w:r>
          </w:p>
        </w:tc>
        <w:tc>
          <w:tcPr>
            <w:tcW w:w="1102" w:type="pct"/>
          </w:tcPr>
          <w:p w:rsidR="009D6CD2" w:rsidRPr="00436049" w:rsidRDefault="009D6CD2" w:rsidP="00952A6D">
            <w:pPr>
              <w:tabs>
                <w:tab w:val="right" w:pos="5033"/>
              </w:tabs>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2242,6</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1857,0</w:t>
            </w:r>
          </w:p>
        </w:tc>
      </w:tr>
      <w:tr w:rsidR="009D6CD2" w:rsidRPr="00436049" w:rsidTr="009F6C7A">
        <w:trPr>
          <w:trHeight w:val="70"/>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tabs>
                <w:tab w:val="left" w:pos="-426"/>
              </w:tabs>
              <w:spacing w:before="40" w:after="40"/>
              <w:ind w:right="113"/>
              <w:jc w:val="center"/>
              <w:rPr>
                <w:rFonts w:ascii="Arial" w:hAnsi="Arial" w:cs="Arial"/>
                <w:sz w:val="18"/>
                <w:szCs w:val="18"/>
              </w:rPr>
            </w:pPr>
            <w:r w:rsidRPr="00436049">
              <w:rPr>
                <w:rFonts w:ascii="Arial" w:hAnsi="Arial" w:cs="Arial"/>
                <w:sz w:val="18"/>
                <w:szCs w:val="18"/>
              </w:rPr>
              <w:t>1970</w:t>
            </w:r>
          </w:p>
        </w:tc>
        <w:tc>
          <w:tcPr>
            <w:tcW w:w="1035" w:type="pct"/>
          </w:tcPr>
          <w:p w:rsidR="009D6CD2" w:rsidRPr="00436049" w:rsidRDefault="009D6CD2" w:rsidP="00952A6D">
            <w:pPr>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3718,3</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2483,6</w:t>
            </w:r>
          </w:p>
        </w:tc>
        <w:tc>
          <w:tcPr>
            <w:tcW w:w="1102" w:type="pct"/>
          </w:tcPr>
          <w:p w:rsidR="009D6CD2" w:rsidRPr="00436049" w:rsidRDefault="009D6CD2" w:rsidP="00952A6D">
            <w:pPr>
              <w:tabs>
                <w:tab w:val="right" w:pos="5033"/>
              </w:tabs>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2233,0</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1845,6</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tabs>
                <w:tab w:val="left" w:pos="-426"/>
              </w:tabs>
              <w:spacing w:before="40" w:after="40"/>
              <w:ind w:right="113"/>
              <w:jc w:val="center"/>
              <w:rPr>
                <w:rFonts w:ascii="Arial" w:hAnsi="Arial" w:cs="Arial"/>
                <w:sz w:val="18"/>
                <w:szCs w:val="18"/>
              </w:rPr>
            </w:pPr>
            <w:r>
              <w:rPr>
                <w:rFonts w:ascii="Arial" w:hAnsi="Arial" w:cs="Arial"/>
                <w:sz w:val="18"/>
                <w:szCs w:val="18"/>
              </w:rPr>
              <w:t>1975</w:t>
            </w:r>
          </w:p>
        </w:tc>
        <w:tc>
          <w:tcPr>
            <w:tcW w:w="1035" w:type="pct"/>
          </w:tcPr>
          <w:p w:rsidR="009D6CD2" w:rsidRPr="00436049" w:rsidRDefault="009D6CD2" w:rsidP="00952A6D">
            <w:pPr>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3718,3</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2482,8</w:t>
            </w:r>
          </w:p>
        </w:tc>
        <w:tc>
          <w:tcPr>
            <w:tcW w:w="1102" w:type="pct"/>
          </w:tcPr>
          <w:p w:rsidR="009D6CD2" w:rsidRPr="00436049" w:rsidRDefault="009D6CD2" w:rsidP="00952A6D">
            <w:pPr>
              <w:tabs>
                <w:tab w:val="right" w:pos="5033"/>
              </w:tabs>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2226,9</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1843,5</w:t>
            </w:r>
          </w:p>
        </w:tc>
      </w:tr>
      <w:tr w:rsidR="009D6CD2" w:rsidRPr="00436049" w:rsidTr="009F6C7A">
        <w:trPr>
          <w:trHeight w:val="139"/>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tabs>
                <w:tab w:val="left" w:pos="-426"/>
              </w:tabs>
              <w:spacing w:before="40" w:after="40"/>
              <w:ind w:right="113"/>
              <w:jc w:val="center"/>
              <w:rPr>
                <w:rFonts w:ascii="Arial" w:hAnsi="Arial" w:cs="Arial"/>
                <w:sz w:val="18"/>
                <w:szCs w:val="18"/>
              </w:rPr>
            </w:pPr>
            <w:r w:rsidRPr="00436049">
              <w:rPr>
                <w:rFonts w:ascii="Arial" w:hAnsi="Arial" w:cs="Arial"/>
                <w:sz w:val="18"/>
                <w:szCs w:val="18"/>
              </w:rPr>
              <w:t>1980</w:t>
            </w:r>
          </w:p>
        </w:tc>
        <w:tc>
          <w:tcPr>
            <w:tcW w:w="1035" w:type="pct"/>
          </w:tcPr>
          <w:p w:rsidR="009D6CD2" w:rsidRPr="00436049" w:rsidRDefault="009D6CD2" w:rsidP="00952A6D">
            <w:pPr>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3718,3</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2477,5</w:t>
            </w:r>
          </w:p>
        </w:tc>
        <w:tc>
          <w:tcPr>
            <w:tcW w:w="1102" w:type="pct"/>
          </w:tcPr>
          <w:p w:rsidR="009D6CD2" w:rsidRPr="00436049" w:rsidRDefault="009D6CD2" w:rsidP="00952A6D">
            <w:pPr>
              <w:tabs>
                <w:tab w:val="right" w:pos="5033"/>
              </w:tabs>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2220,1</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1834,9</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Height w:val="139"/>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tabs>
                <w:tab w:val="left" w:pos="-426"/>
              </w:tabs>
              <w:spacing w:before="40" w:after="40"/>
              <w:ind w:right="113"/>
              <w:jc w:val="center"/>
              <w:rPr>
                <w:rFonts w:ascii="Arial" w:hAnsi="Arial" w:cs="Arial"/>
                <w:sz w:val="18"/>
                <w:szCs w:val="18"/>
              </w:rPr>
            </w:pPr>
            <w:r>
              <w:rPr>
                <w:rFonts w:ascii="Arial" w:hAnsi="Arial" w:cs="Arial"/>
                <w:sz w:val="18"/>
                <w:szCs w:val="18"/>
              </w:rPr>
              <w:t>1985</w:t>
            </w:r>
          </w:p>
        </w:tc>
        <w:tc>
          <w:tcPr>
            <w:tcW w:w="1035" w:type="pct"/>
          </w:tcPr>
          <w:p w:rsidR="009D6CD2" w:rsidRPr="00436049" w:rsidRDefault="009D6CD2" w:rsidP="00952A6D">
            <w:pPr>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3718,3</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2467,8</w:t>
            </w:r>
          </w:p>
        </w:tc>
        <w:tc>
          <w:tcPr>
            <w:tcW w:w="1102" w:type="pct"/>
          </w:tcPr>
          <w:p w:rsidR="009D6CD2" w:rsidRPr="00436049" w:rsidRDefault="009D6CD2" w:rsidP="00952A6D">
            <w:pPr>
              <w:tabs>
                <w:tab w:val="right" w:pos="5033"/>
              </w:tabs>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2204,7</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1833,3</w:t>
            </w:r>
          </w:p>
        </w:tc>
      </w:tr>
      <w:tr w:rsidR="009D6CD2" w:rsidRPr="00436049" w:rsidTr="009F6C7A">
        <w:trPr>
          <w:trHeight w:val="70"/>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tabs>
                <w:tab w:val="left" w:pos="-426"/>
              </w:tabs>
              <w:spacing w:before="40" w:after="40"/>
              <w:ind w:right="113"/>
              <w:jc w:val="center"/>
              <w:rPr>
                <w:rFonts w:ascii="Arial" w:hAnsi="Arial" w:cs="Arial"/>
                <w:sz w:val="18"/>
                <w:szCs w:val="18"/>
              </w:rPr>
            </w:pPr>
            <w:r w:rsidRPr="00436049">
              <w:rPr>
                <w:rFonts w:ascii="Arial" w:hAnsi="Arial" w:cs="Arial"/>
                <w:sz w:val="18"/>
                <w:szCs w:val="18"/>
              </w:rPr>
              <w:t>1990</w:t>
            </w:r>
          </w:p>
        </w:tc>
        <w:tc>
          <w:tcPr>
            <w:tcW w:w="1035" w:type="pct"/>
          </w:tcPr>
          <w:p w:rsidR="009D6CD2" w:rsidRPr="00436049" w:rsidRDefault="009D6CD2" w:rsidP="00952A6D">
            <w:pPr>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3718,3</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2465,7</w:t>
            </w:r>
          </w:p>
        </w:tc>
        <w:tc>
          <w:tcPr>
            <w:tcW w:w="1102" w:type="pct"/>
          </w:tcPr>
          <w:p w:rsidR="009D6CD2" w:rsidRPr="00436049" w:rsidRDefault="009D6CD2" w:rsidP="00952A6D">
            <w:pPr>
              <w:tabs>
                <w:tab w:val="right" w:pos="5033"/>
              </w:tabs>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36049">
              <w:rPr>
                <w:rFonts w:ascii="Arial" w:hAnsi="Arial" w:cs="Arial"/>
                <w:sz w:val="18"/>
                <w:szCs w:val="18"/>
              </w:rPr>
              <w:t>2199,6</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1808,0</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tabs>
                <w:tab w:val="left" w:pos="-426"/>
              </w:tabs>
              <w:spacing w:before="40" w:after="40"/>
              <w:ind w:right="113"/>
              <w:jc w:val="center"/>
              <w:rPr>
                <w:rFonts w:ascii="Arial" w:hAnsi="Arial" w:cs="Arial"/>
                <w:sz w:val="18"/>
                <w:szCs w:val="18"/>
              </w:rPr>
            </w:pPr>
            <w:r w:rsidRPr="00436049">
              <w:rPr>
                <w:rFonts w:ascii="Arial" w:hAnsi="Arial" w:cs="Arial"/>
                <w:sz w:val="18"/>
                <w:szCs w:val="18"/>
              </w:rPr>
              <w:t>2000</w:t>
            </w:r>
          </w:p>
        </w:tc>
        <w:tc>
          <w:tcPr>
            <w:tcW w:w="1035" w:type="pct"/>
          </w:tcPr>
          <w:p w:rsidR="009D6CD2" w:rsidRPr="00436049" w:rsidRDefault="009D6CD2" w:rsidP="00952A6D">
            <w:pPr>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3718,1</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2338,5</w:t>
            </w:r>
          </w:p>
        </w:tc>
        <w:tc>
          <w:tcPr>
            <w:tcW w:w="1102" w:type="pct"/>
          </w:tcPr>
          <w:p w:rsidR="009D6CD2" w:rsidRPr="00436049" w:rsidRDefault="009D6CD2" w:rsidP="00952A6D">
            <w:pPr>
              <w:tabs>
                <w:tab w:val="right" w:pos="5033"/>
              </w:tabs>
              <w:spacing w:before="40" w:after="40"/>
              <w:ind w:right="-116"/>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36049">
              <w:rPr>
                <w:rFonts w:ascii="Arial" w:hAnsi="Arial" w:cs="Arial"/>
                <w:sz w:val="18"/>
                <w:szCs w:val="18"/>
              </w:rPr>
              <w:t>2091,7</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sidRPr="00436049">
              <w:rPr>
                <w:rFonts w:ascii="Arial" w:hAnsi="Arial" w:cs="Arial"/>
                <w:sz w:val="18"/>
                <w:szCs w:val="18"/>
              </w:rPr>
              <w:t>1681,1</w:t>
            </w:r>
          </w:p>
        </w:tc>
      </w:tr>
      <w:tr w:rsidR="009D6CD2" w:rsidRPr="00436049" w:rsidTr="009F6C7A">
        <w:trPr>
          <w:trHeight w:val="109"/>
        </w:trPr>
        <w:tc>
          <w:tcPr>
            <w:cnfStyle w:val="000010000000" w:firstRow="0" w:lastRow="0" w:firstColumn="0" w:lastColumn="0" w:oddVBand="1" w:evenVBand="0" w:oddHBand="0" w:evenHBand="0" w:firstRowFirstColumn="0" w:firstRowLastColumn="0" w:lastRowFirstColumn="0" w:lastRowLastColumn="0"/>
            <w:tcW w:w="742" w:type="pct"/>
          </w:tcPr>
          <w:p w:rsidR="009D6CD2" w:rsidRPr="00436049" w:rsidRDefault="009D6CD2" w:rsidP="00952A6D">
            <w:pPr>
              <w:tabs>
                <w:tab w:val="left" w:pos="-426"/>
              </w:tabs>
              <w:spacing w:before="40" w:after="40"/>
              <w:ind w:right="113"/>
              <w:jc w:val="center"/>
              <w:rPr>
                <w:rFonts w:ascii="Arial" w:hAnsi="Arial" w:cs="Arial"/>
                <w:sz w:val="18"/>
                <w:szCs w:val="18"/>
              </w:rPr>
            </w:pPr>
            <w:r w:rsidRPr="00436049">
              <w:rPr>
                <w:rFonts w:ascii="Arial" w:hAnsi="Arial" w:cs="Arial"/>
                <w:sz w:val="18"/>
                <w:szCs w:val="18"/>
              </w:rPr>
              <w:t>20</w:t>
            </w:r>
            <w:r>
              <w:rPr>
                <w:rFonts w:ascii="Arial" w:hAnsi="Arial" w:cs="Arial"/>
                <w:sz w:val="18"/>
                <w:szCs w:val="18"/>
              </w:rPr>
              <w:t>11</w:t>
            </w:r>
          </w:p>
        </w:tc>
        <w:tc>
          <w:tcPr>
            <w:tcW w:w="1035" w:type="pct"/>
          </w:tcPr>
          <w:p w:rsidR="009D6CD2" w:rsidRPr="00436049" w:rsidRDefault="009D6CD2" w:rsidP="00952A6D">
            <w:pPr>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3718,1</w:t>
            </w:r>
          </w:p>
        </w:tc>
        <w:tc>
          <w:tcPr>
            <w:cnfStyle w:val="000010000000" w:firstRow="0" w:lastRow="0" w:firstColumn="0" w:lastColumn="0" w:oddVBand="1" w:evenVBand="0" w:oddHBand="0" w:evenHBand="0" w:firstRowFirstColumn="0" w:firstRowLastColumn="0" w:lastRowFirstColumn="0" w:lastRowLastColumn="0"/>
            <w:tcW w:w="1096"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2278,0</w:t>
            </w:r>
          </w:p>
        </w:tc>
        <w:tc>
          <w:tcPr>
            <w:tcW w:w="1102" w:type="pct"/>
          </w:tcPr>
          <w:p w:rsidR="009D6CD2" w:rsidRPr="00436049" w:rsidRDefault="009D6CD2" w:rsidP="00952A6D">
            <w:pPr>
              <w:tabs>
                <w:tab w:val="right" w:pos="5033"/>
              </w:tabs>
              <w:spacing w:before="40" w:after="40"/>
              <w:ind w:right="-116"/>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2042,8</w:t>
            </w:r>
          </w:p>
        </w:tc>
        <w:tc>
          <w:tcPr>
            <w:cnfStyle w:val="000010000000" w:firstRow="0" w:lastRow="0" w:firstColumn="0" w:lastColumn="0" w:oddVBand="1" w:evenVBand="0" w:oddHBand="0" w:evenHBand="0" w:firstRowFirstColumn="0" w:firstRowLastColumn="0" w:lastRowFirstColumn="0" w:lastRowLastColumn="0"/>
            <w:tcW w:w="1025" w:type="pct"/>
          </w:tcPr>
          <w:p w:rsidR="009D6CD2" w:rsidRPr="00436049" w:rsidRDefault="009D6CD2" w:rsidP="00952A6D">
            <w:pPr>
              <w:spacing w:before="40" w:after="40"/>
              <w:ind w:right="-116"/>
              <w:jc w:val="center"/>
              <w:rPr>
                <w:rFonts w:ascii="Arial" w:hAnsi="Arial" w:cs="Arial"/>
                <w:sz w:val="18"/>
                <w:szCs w:val="18"/>
              </w:rPr>
            </w:pPr>
            <w:r>
              <w:rPr>
                <w:rFonts w:ascii="Arial" w:hAnsi="Arial" w:cs="Arial"/>
                <w:sz w:val="18"/>
                <w:szCs w:val="18"/>
              </w:rPr>
              <w:t>1578,9</w:t>
            </w:r>
          </w:p>
        </w:tc>
      </w:tr>
      <w:tr w:rsidR="009D6CD2" w:rsidRPr="00436049"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5"/>
          </w:tcPr>
          <w:p w:rsidR="009D6CD2" w:rsidRPr="00B37742" w:rsidRDefault="009D6CD2" w:rsidP="00952A6D">
            <w:pPr>
              <w:spacing w:before="40" w:after="40"/>
              <w:ind w:right="1475"/>
              <w:jc w:val="both"/>
              <w:rPr>
                <w:rFonts w:ascii="Arial" w:hAnsi="Arial" w:cs="Arial"/>
                <w:sz w:val="18"/>
                <w:szCs w:val="18"/>
              </w:rPr>
            </w:pPr>
            <w:r w:rsidRPr="00B37742">
              <w:rPr>
                <w:rFonts w:ascii="Arial" w:hAnsi="Arial" w:cs="Arial"/>
                <w:sz w:val="18"/>
                <w:szCs w:val="18"/>
                <w:vertAlign w:val="superscript"/>
              </w:rPr>
              <w:t xml:space="preserve">1) </w:t>
            </w:r>
            <w:r>
              <w:rPr>
                <w:rFonts w:ascii="Arial" w:hAnsi="Arial" w:cs="Arial"/>
                <w:sz w:val="18"/>
                <w:szCs w:val="18"/>
              </w:rPr>
              <w:t>Учёт осуществлялся с 1953 года</w:t>
            </w:r>
          </w:p>
        </w:tc>
      </w:tr>
    </w:tbl>
    <w:p w:rsidR="009D6CD2" w:rsidRPr="00952A6D" w:rsidRDefault="009D6CD2" w:rsidP="00952A6D">
      <w:pPr>
        <w:pStyle w:val="8"/>
        <w:rPr>
          <w:sz w:val="22"/>
        </w:rPr>
      </w:pPr>
      <w:r>
        <w:rPr>
          <w:kern w:val="28"/>
        </w:rPr>
        <w:br w:type="page"/>
      </w:r>
      <w:r w:rsidRPr="00952A6D">
        <w:rPr>
          <w:sz w:val="22"/>
        </w:rPr>
        <w:lastRenderedPageBreak/>
        <w:t xml:space="preserve">ПОСЕВНЫЕ ПЛОЩАДИ ОСНОВНЫХ СЕЛЬСКОХОЗЯЙСТВЕННЫХ КУЛЬТУР </w:t>
      </w:r>
      <w:r w:rsidRPr="00952A6D">
        <w:rPr>
          <w:sz w:val="22"/>
        </w:rPr>
        <w:br/>
        <w:t>В ХОЗЯЙСТВАХ ВСЕХ КАТЕГОРИЙ</w:t>
      </w:r>
    </w:p>
    <w:p w:rsidR="009D6CD2" w:rsidRDefault="009D6CD2" w:rsidP="009D6CD2">
      <w:pPr>
        <w:jc w:val="center"/>
        <w:rPr>
          <w:rFonts w:ascii="Arial" w:hAnsi="Arial" w:cs="Arial"/>
          <w:sz w:val="22"/>
        </w:rPr>
      </w:pPr>
      <w:r>
        <w:rPr>
          <w:rFonts w:ascii="Arial" w:hAnsi="Arial" w:cs="Arial"/>
          <w:sz w:val="22"/>
        </w:rPr>
        <w:t>(тыс. гектаров)</w:t>
      </w:r>
    </w:p>
    <w:p w:rsidR="009D6CD2" w:rsidRDefault="009D6CD2" w:rsidP="009D6CD2">
      <w:pPr>
        <w:pStyle w:val="8"/>
        <w:rPr>
          <w:sz w:val="22"/>
        </w:rPr>
      </w:pPr>
      <w:r>
        <w:rPr>
          <w:noProof/>
          <w:sz w:val="22"/>
        </w:rPr>
        <w:drawing>
          <wp:anchor distT="0" distB="0" distL="114300" distR="114300" simplePos="0" relativeHeight="251761664" behindDoc="0" locked="0" layoutInCell="1" allowOverlap="1">
            <wp:simplePos x="0" y="0"/>
            <wp:positionH relativeFrom="column">
              <wp:posOffset>42486</wp:posOffset>
            </wp:positionH>
            <wp:positionV relativeFrom="paragraph">
              <wp:posOffset>36919</wp:posOffset>
            </wp:positionV>
            <wp:extent cx="8879914" cy="2511498"/>
            <wp:effectExtent l="38100" t="19050" r="16436" b="3102"/>
            <wp:wrapNone/>
            <wp:docPr id="82" name="Объект 9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Pr="00FC50CF" w:rsidRDefault="009D6CD2" w:rsidP="009D6CD2">
      <w:pPr>
        <w:pStyle w:val="8"/>
        <w:rPr>
          <w:sz w:val="22"/>
        </w:rPr>
      </w:pPr>
      <w:r>
        <w:rPr>
          <w:sz w:val="22"/>
        </w:rPr>
        <w:t xml:space="preserve">ВАЛОВОЙ СБОР ОСНОВНЫХ СЕЛЬСКОХОЗЯЙСТВЕННЫХ КУЛЬТУР </w:t>
      </w:r>
      <w:r>
        <w:rPr>
          <w:sz w:val="22"/>
        </w:rPr>
        <w:br/>
        <w:t xml:space="preserve"> В ХОЗЯЙСТВАХ ВСЕХ КАТЕГОРИЙ</w:t>
      </w:r>
    </w:p>
    <w:p w:rsidR="009D6CD2" w:rsidRPr="00077D7F" w:rsidRDefault="009D6CD2" w:rsidP="009D6CD2">
      <w:pPr>
        <w:jc w:val="center"/>
        <w:rPr>
          <w:rFonts w:ascii="Arial" w:hAnsi="Arial" w:cs="Arial"/>
          <w:sz w:val="22"/>
          <w:szCs w:val="22"/>
        </w:rPr>
      </w:pPr>
      <w:r w:rsidRPr="00FC50CF">
        <w:rPr>
          <w:rFonts w:ascii="Arial" w:hAnsi="Arial" w:cs="Arial"/>
          <w:sz w:val="22"/>
          <w:szCs w:val="22"/>
        </w:rPr>
        <w:t>(</w:t>
      </w:r>
      <w:r w:rsidRPr="00077D7F">
        <w:rPr>
          <w:rFonts w:ascii="Arial" w:hAnsi="Arial" w:cs="Arial"/>
          <w:sz w:val="22"/>
          <w:szCs w:val="22"/>
        </w:rPr>
        <w:t>тыс. тонн)</w:t>
      </w:r>
    </w:p>
    <w:p w:rsidR="009D6CD2" w:rsidRDefault="009D6CD2" w:rsidP="009D6CD2">
      <w:pPr>
        <w:pStyle w:val="ad"/>
        <w:jc w:val="center"/>
        <w:rPr>
          <w:rFonts w:cs="Arial"/>
          <w:sz w:val="22"/>
        </w:rPr>
      </w:pPr>
      <w:r w:rsidRPr="00671C6C">
        <w:rPr>
          <w:rFonts w:cs="Arial"/>
          <w:noProof/>
          <w:color w:val="006600"/>
          <w:sz w:val="22"/>
        </w:rPr>
        <w:drawing>
          <wp:anchor distT="0" distB="0" distL="114300" distR="114300" simplePos="0" relativeHeight="251762688" behindDoc="0" locked="0" layoutInCell="1" allowOverlap="1">
            <wp:simplePos x="0" y="0"/>
            <wp:positionH relativeFrom="column">
              <wp:posOffset>63500</wp:posOffset>
            </wp:positionH>
            <wp:positionV relativeFrom="paragraph">
              <wp:posOffset>50165</wp:posOffset>
            </wp:positionV>
            <wp:extent cx="8872554" cy="2387265"/>
            <wp:effectExtent l="38100" t="19050" r="23796" b="0"/>
            <wp:wrapNone/>
            <wp:docPr id="83" name="Объект 9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rsidR="009D6CD2" w:rsidRDefault="009D6CD2" w:rsidP="009D6CD2">
      <w:pPr>
        <w:pStyle w:val="8"/>
        <w:rPr>
          <w:b w:val="0"/>
          <w:bCs w:val="0"/>
          <w:sz w:val="22"/>
        </w:rPr>
      </w:pPr>
    </w:p>
    <w:p w:rsidR="009D6CD2" w:rsidRDefault="009D6CD2" w:rsidP="009D6CD2">
      <w:pPr>
        <w:rPr>
          <w:rFonts w:ascii="Arial" w:hAnsi="Arial" w:cs="Arial"/>
          <w:b/>
          <w:bCs/>
          <w:sz w:val="22"/>
        </w:rPr>
      </w:pPr>
      <w:r>
        <w:rPr>
          <w:sz w:val="22"/>
        </w:rPr>
        <w:br w:type="page"/>
      </w:r>
    </w:p>
    <w:p w:rsidR="009D6CD2" w:rsidRDefault="009D6CD2" w:rsidP="009D6CD2">
      <w:pPr>
        <w:pStyle w:val="8"/>
        <w:rPr>
          <w:sz w:val="22"/>
        </w:rPr>
      </w:pPr>
      <w:r>
        <w:rPr>
          <w:sz w:val="22"/>
        </w:rPr>
        <w:lastRenderedPageBreak/>
        <w:t>ЖИВОТНОВОДСТВО</w:t>
      </w:r>
    </w:p>
    <w:p w:rsidR="009D6CD2" w:rsidRDefault="009D6CD2" w:rsidP="009D6CD2">
      <w:pPr>
        <w:rPr>
          <w:rFonts w:ascii="Arial" w:hAnsi="Arial" w:cs="Arial"/>
          <w:b/>
          <w:bCs/>
          <w:sz w:val="22"/>
        </w:rPr>
      </w:pPr>
    </w:p>
    <w:p w:rsidR="009D6CD2" w:rsidRDefault="009D6CD2" w:rsidP="009D6CD2">
      <w:pPr>
        <w:pStyle w:val="8"/>
        <w:rPr>
          <w:sz w:val="22"/>
        </w:rPr>
      </w:pPr>
      <w:r>
        <w:rPr>
          <w:sz w:val="22"/>
        </w:rPr>
        <w:t>ПОГОЛОВЬЕ СКОТА В ХОЗЯЙСТВАХ ВСЕХ КАТЕГОРИЙ</w:t>
      </w:r>
    </w:p>
    <w:p w:rsidR="009D6CD2" w:rsidRDefault="009D6CD2" w:rsidP="009D6CD2">
      <w:pPr>
        <w:spacing w:before="120" w:after="120"/>
        <w:jc w:val="center"/>
        <w:rPr>
          <w:rFonts w:ascii="Arial" w:hAnsi="Arial" w:cs="Arial"/>
          <w:sz w:val="22"/>
        </w:rPr>
      </w:pPr>
      <w:r>
        <w:rPr>
          <w:rFonts w:ascii="Arial" w:hAnsi="Arial" w:cs="Arial"/>
          <w:sz w:val="22"/>
        </w:rPr>
        <w:t>(на конец года; тысяч голов)</w:t>
      </w:r>
    </w:p>
    <w:tbl>
      <w:tblPr>
        <w:tblStyle w:val="-11"/>
        <w:tblW w:w="5000" w:type="pct"/>
        <w:tblLayout w:type="fixed"/>
        <w:tblLook w:val="0000" w:firstRow="0" w:lastRow="0" w:firstColumn="0" w:lastColumn="0" w:noHBand="0" w:noVBand="0"/>
      </w:tblPr>
      <w:tblGrid>
        <w:gridCol w:w="1715"/>
        <w:gridCol w:w="915"/>
        <w:gridCol w:w="990"/>
        <w:gridCol w:w="990"/>
        <w:gridCol w:w="990"/>
        <w:gridCol w:w="990"/>
        <w:gridCol w:w="990"/>
        <w:gridCol w:w="990"/>
        <w:gridCol w:w="989"/>
        <w:gridCol w:w="989"/>
        <w:gridCol w:w="989"/>
        <w:gridCol w:w="989"/>
        <w:gridCol w:w="989"/>
        <w:gridCol w:w="989"/>
      </w:tblGrid>
      <w:tr w:rsidR="009D6CD2" w:rsidRPr="009F59D6"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91" w:type="pct"/>
            <w:shd w:val="clear" w:color="auto" w:fill="C6D9F1" w:themeFill="text2" w:themeFillTint="33"/>
          </w:tcPr>
          <w:p w:rsidR="009D6CD2" w:rsidRPr="009F59D6" w:rsidRDefault="009D6CD2" w:rsidP="009F6C7A">
            <w:pPr>
              <w:spacing w:before="60" w:after="60"/>
              <w:jc w:val="center"/>
              <w:rPr>
                <w:rFonts w:ascii="Arial" w:hAnsi="Arial" w:cs="Arial"/>
                <w:sz w:val="18"/>
                <w:szCs w:val="18"/>
              </w:rPr>
            </w:pPr>
          </w:p>
        </w:tc>
        <w:tc>
          <w:tcPr>
            <w:tcW w:w="315" w:type="pct"/>
            <w:shd w:val="clear" w:color="auto" w:fill="C6D9F1" w:themeFill="text2" w:themeFillTint="33"/>
          </w:tcPr>
          <w:p w:rsidR="009D6CD2" w:rsidRPr="009F59D6" w:rsidRDefault="009D6CD2" w:rsidP="009F6C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F59D6">
              <w:rPr>
                <w:rFonts w:ascii="Arial" w:hAnsi="Arial" w:cs="Arial"/>
                <w:sz w:val="18"/>
                <w:szCs w:val="18"/>
              </w:rPr>
              <w:t>194</w:t>
            </w:r>
            <w:r>
              <w:rPr>
                <w:rFonts w:ascii="Arial" w:hAnsi="Arial" w:cs="Arial"/>
                <w:sz w:val="18"/>
                <w:szCs w:val="18"/>
              </w:rPr>
              <w:t>0</w:t>
            </w:r>
          </w:p>
        </w:tc>
        <w:tc>
          <w:tcPr>
            <w:cnfStyle w:val="000010000000" w:firstRow="0" w:lastRow="0" w:firstColumn="0" w:lastColumn="0" w:oddVBand="1" w:evenVBand="0" w:oddHBand="0" w:evenHBand="0" w:firstRowFirstColumn="0" w:firstRowLastColumn="0" w:lastRowFirstColumn="0" w:lastRowLastColumn="0"/>
            <w:tcW w:w="341" w:type="pct"/>
            <w:shd w:val="clear" w:color="auto" w:fill="C6D9F1" w:themeFill="text2" w:themeFillTint="33"/>
          </w:tcPr>
          <w:p w:rsidR="009D6CD2" w:rsidRPr="009F59D6" w:rsidRDefault="009D6CD2" w:rsidP="009F6C7A">
            <w:pPr>
              <w:spacing w:before="60" w:after="60"/>
              <w:jc w:val="center"/>
              <w:rPr>
                <w:rFonts w:ascii="Arial" w:hAnsi="Arial" w:cs="Arial"/>
                <w:sz w:val="18"/>
                <w:szCs w:val="18"/>
              </w:rPr>
            </w:pPr>
            <w:r>
              <w:rPr>
                <w:rFonts w:ascii="Arial" w:hAnsi="Arial" w:cs="Arial"/>
                <w:sz w:val="18"/>
                <w:szCs w:val="18"/>
              </w:rPr>
              <w:t>1950</w:t>
            </w:r>
          </w:p>
        </w:tc>
        <w:tc>
          <w:tcPr>
            <w:tcW w:w="341" w:type="pct"/>
            <w:shd w:val="clear" w:color="auto" w:fill="C6D9F1" w:themeFill="text2" w:themeFillTint="33"/>
          </w:tcPr>
          <w:p w:rsidR="009D6CD2" w:rsidRPr="009F59D6" w:rsidRDefault="009D6CD2" w:rsidP="009F6C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1955</w:t>
            </w:r>
          </w:p>
        </w:tc>
        <w:tc>
          <w:tcPr>
            <w:cnfStyle w:val="000010000000" w:firstRow="0" w:lastRow="0" w:firstColumn="0" w:lastColumn="0" w:oddVBand="1" w:evenVBand="0" w:oddHBand="0" w:evenHBand="0" w:firstRowFirstColumn="0" w:firstRowLastColumn="0" w:lastRowFirstColumn="0" w:lastRowLastColumn="0"/>
            <w:tcW w:w="341" w:type="pct"/>
            <w:shd w:val="clear" w:color="auto" w:fill="C6D9F1" w:themeFill="text2" w:themeFillTint="33"/>
          </w:tcPr>
          <w:p w:rsidR="009D6CD2" w:rsidRPr="009F59D6" w:rsidRDefault="009D6CD2" w:rsidP="009F6C7A">
            <w:pPr>
              <w:spacing w:before="60" w:after="60"/>
              <w:jc w:val="center"/>
              <w:rPr>
                <w:rFonts w:ascii="Arial" w:hAnsi="Arial" w:cs="Arial"/>
                <w:sz w:val="18"/>
                <w:szCs w:val="18"/>
              </w:rPr>
            </w:pPr>
            <w:r w:rsidRPr="009F59D6">
              <w:rPr>
                <w:rFonts w:ascii="Arial" w:hAnsi="Arial" w:cs="Arial"/>
                <w:sz w:val="18"/>
                <w:szCs w:val="18"/>
              </w:rPr>
              <w:t>1960</w:t>
            </w:r>
          </w:p>
        </w:tc>
        <w:tc>
          <w:tcPr>
            <w:tcW w:w="341" w:type="pct"/>
            <w:shd w:val="clear" w:color="auto" w:fill="C6D9F1" w:themeFill="text2" w:themeFillTint="33"/>
          </w:tcPr>
          <w:p w:rsidR="009D6CD2" w:rsidRPr="009F59D6" w:rsidRDefault="009D6CD2" w:rsidP="009F6C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1965</w:t>
            </w:r>
          </w:p>
        </w:tc>
        <w:tc>
          <w:tcPr>
            <w:cnfStyle w:val="000010000000" w:firstRow="0" w:lastRow="0" w:firstColumn="0" w:lastColumn="0" w:oddVBand="1" w:evenVBand="0" w:oddHBand="0" w:evenHBand="0" w:firstRowFirstColumn="0" w:firstRowLastColumn="0" w:lastRowFirstColumn="0" w:lastRowLastColumn="0"/>
            <w:tcW w:w="341" w:type="pct"/>
            <w:shd w:val="clear" w:color="auto" w:fill="C6D9F1" w:themeFill="text2" w:themeFillTint="33"/>
          </w:tcPr>
          <w:p w:rsidR="009D6CD2" w:rsidRPr="009F59D6" w:rsidRDefault="009D6CD2" w:rsidP="009F6C7A">
            <w:pPr>
              <w:spacing w:before="60" w:after="60"/>
              <w:jc w:val="center"/>
              <w:rPr>
                <w:rFonts w:ascii="Arial" w:hAnsi="Arial" w:cs="Arial"/>
                <w:sz w:val="18"/>
                <w:szCs w:val="18"/>
              </w:rPr>
            </w:pPr>
            <w:r w:rsidRPr="009F59D6">
              <w:rPr>
                <w:rFonts w:ascii="Arial" w:hAnsi="Arial" w:cs="Arial"/>
                <w:sz w:val="18"/>
                <w:szCs w:val="18"/>
              </w:rPr>
              <w:t>1970</w:t>
            </w:r>
          </w:p>
        </w:tc>
        <w:tc>
          <w:tcPr>
            <w:tcW w:w="341" w:type="pct"/>
            <w:shd w:val="clear" w:color="auto" w:fill="C6D9F1" w:themeFill="text2" w:themeFillTint="33"/>
          </w:tcPr>
          <w:p w:rsidR="009D6CD2" w:rsidRPr="009F59D6" w:rsidRDefault="009D6CD2" w:rsidP="009F6C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1975</w:t>
            </w:r>
          </w:p>
        </w:tc>
        <w:tc>
          <w:tcPr>
            <w:cnfStyle w:val="000010000000" w:firstRow="0" w:lastRow="0" w:firstColumn="0" w:lastColumn="0" w:oddVBand="1" w:evenVBand="0" w:oddHBand="0" w:evenHBand="0" w:firstRowFirstColumn="0" w:firstRowLastColumn="0" w:lastRowFirstColumn="0" w:lastRowLastColumn="0"/>
            <w:tcW w:w="341" w:type="pct"/>
            <w:shd w:val="clear" w:color="auto" w:fill="C6D9F1" w:themeFill="text2" w:themeFillTint="33"/>
          </w:tcPr>
          <w:p w:rsidR="009D6CD2" w:rsidRPr="009F59D6" w:rsidRDefault="009D6CD2" w:rsidP="009F6C7A">
            <w:pPr>
              <w:spacing w:before="60" w:after="60"/>
              <w:jc w:val="center"/>
              <w:rPr>
                <w:rFonts w:ascii="Arial" w:hAnsi="Arial" w:cs="Arial"/>
                <w:sz w:val="18"/>
                <w:szCs w:val="18"/>
              </w:rPr>
            </w:pPr>
            <w:r w:rsidRPr="009F59D6">
              <w:rPr>
                <w:rFonts w:ascii="Arial" w:hAnsi="Arial" w:cs="Arial"/>
                <w:sz w:val="18"/>
                <w:szCs w:val="18"/>
              </w:rPr>
              <w:t>1980</w:t>
            </w:r>
          </w:p>
        </w:tc>
        <w:tc>
          <w:tcPr>
            <w:tcW w:w="341" w:type="pct"/>
            <w:shd w:val="clear" w:color="auto" w:fill="C6D9F1" w:themeFill="text2" w:themeFillTint="33"/>
          </w:tcPr>
          <w:p w:rsidR="009D6CD2" w:rsidRPr="009F59D6" w:rsidRDefault="009D6CD2" w:rsidP="009F6C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1985</w:t>
            </w:r>
          </w:p>
        </w:tc>
        <w:tc>
          <w:tcPr>
            <w:cnfStyle w:val="000010000000" w:firstRow="0" w:lastRow="0" w:firstColumn="0" w:lastColumn="0" w:oddVBand="1" w:evenVBand="0" w:oddHBand="0" w:evenHBand="0" w:firstRowFirstColumn="0" w:firstRowLastColumn="0" w:lastRowFirstColumn="0" w:lastRowLastColumn="0"/>
            <w:tcW w:w="341" w:type="pct"/>
            <w:shd w:val="clear" w:color="auto" w:fill="C6D9F1" w:themeFill="text2" w:themeFillTint="33"/>
          </w:tcPr>
          <w:p w:rsidR="009D6CD2" w:rsidRPr="009F59D6" w:rsidRDefault="009D6CD2" w:rsidP="009F6C7A">
            <w:pPr>
              <w:spacing w:before="60" w:after="60"/>
              <w:jc w:val="center"/>
              <w:rPr>
                <w:rFonts w:ascii="Arial" w:hAnsi="Arial" w:cs="Arial"/>
                <w:sz w:val="18"/>
                <w:szCs w:val="18"/>
              </w:rPr>
            </w:pPr>
            <w:r w:rsidRPr="009F59D6">
              <w:rPr>
                <w:rFonts w:ascii="Arial" w:hAnsi="Arial" w:cs="Arial"/>
                <w:sz w:val="18"/>
                <w:szCs w:val="18"/>
              </w:rPr>
              <w:t>1990</w:t>
            </w:r>
          </w:p>
        </w:tc>
        <w:tc>
          <w:tcPr>
            <w:tcW w:w="341" w:type="pct"/>
            <w:shd w:val="clear" w:color="auto" w:fill="C6D9F1" w:themeFill="text2" w:themeFillTint="33"/>
          </w:tcPr>
          <w:p w:rsidR="009D6CD2" w:rsidRPr="009F59D6" w:rsidRDefault="009D6CD2" w:rsidP="009F6C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F59D6">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341" w:type="pct"/>
            <w:shd w:val="clear" w:color="auto" w:fill="C6D9F1" w:themeFill="text2" w:themeFillTint="33"/>
          </w:tcPr>
          <w:p w:rsidR="009D6CD2" w:rsidRPr="009F59D6" w:rsidRDefault="009D6CD2" w:rsidP="009F6C7A">
            <w:pPr>
              <w:spacing w:before="60" w:after="60"/>
              <w:jc w:val="center"/>
              <w:rPr>
                <w:rFonts w:ascii="Arial" w:hAnsi="Arial" w:cs="Arial"/>
                <w:sz w:val="18"/>
                <w:szCs w:val="18"/>
              </w:rPr>
            </w:pPr>
            <w:r>
              <w:rPr>
                <w:rFonts w:ascii="Arial" w:hAnsi="Arial" w:cs="Arial"/>
                <w:sz w:val="18"/>
                <w:szCs w:val="18"/>
              </w:rPr>
              <w:t>2010</w:t>
            </w:r>
          </w:p>
        </w:tc>
        <w:tc>
          <w:tcPr>
            <w:tcW w:w="341" w:type="pct"/>
            <w:shd w:val="clear" w:color="auto" w:fill="C6D9F1" w:themeFill="text2" w:themeFillTint="33"/>
          </w:tcPr>
          <w:p w:rsidR="009D6CD2" w:rsidRPr="009F59D6" w:rsidRDefault="009D6CD2" w:rsidP="009F6C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2011</w:t>
            </w:r>
          </w:p>
        </w:tc>
      </w:tr>
      <w:tr w:rsidR="009D6CD2" w:rsidRPr="009F59D6" w:rsidTr="009F6C7A">
        <w:trPr>
          <w:trHeight w:val="357"/>
        </w:trPr>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rPr>
                <w:rFonts w:ascii="Arial" w:hAnsi="Arial" w:cs="Arial"/>
                <w:sz w:val="18"/>
                <w:szCs w:val="18"/>
              </w:rPr>
            </w:pPr>
            <w:r w:rsidRPr="009F59D6">
              <w:rPr>
                <w:rFonts w:ascii="Arial" w:hAnsi="Arial" w:cs="Arial"/>
                <w:sz w:val="18"/>
                <w:szCs w:val="18"/>
              </w:rPr>
              <w:t>Крупный рогатый скот</w:t>
            </w:r>
          </w:p>
        </w:tc>
        <w:tc>
          <w:tcPr>
            <w:tcW w:w="315"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230,9</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273,9</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306,5</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472,3</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596,6</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621,2</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713,8</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731,6</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756,4</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701,1</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F59D6">
              <w:rPr>
                <w:rFonts w:ascii="Arial" w:hAnsi="Arial" w:cs="Arial"/>
                <w:sz w:val="18"/>
                <w:szCs w:val="18"/>
              </w:rPr>
              <w:t>300,3</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153,2</w:t>
            </w:r>
          </w:p>
        </w:tc>
        <w:tc>
          <w:tcPr>
            <w:tcW w:w="341" w:type="pct"/>
            <w:vAlign w:val="bottom"/>
          </w:tcPr>
          <w:p w:rsidR="009D6CD2" w:rsidRPr="008C6AA8"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lang w:val="en-US"/>
              </w:rPr>
              <w:t>154</w:t>
            </w:r>
            <w:r>
              <w:rPr>
                <w:rFonts w:ascii="Arial" w:hAnsi="Arial" w:cs="Arial"/>
                <w:sz w:val="18"/>
                <w:szCs w:val="18"/>
              </w:rPr>
              <w:t>,8</w:t>
            </w:r>
          </w:p>
        </w:tc>
      </w:tr>
      <w:tr w:rsidR="009D6CD2" w:rsidRPr="009F59D6"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jc w:val="center"/>
              <w:rPr>
                <w:rFonts w:ascii="Arial" w:hAnsi="Arial" w:cs="Arial"/>
                <w:sz w:val="18"/>
                <w:szCs w:val="18"/>
              </w:rPr>
            </w:pPr>
            <w:r w:rsidRPr="009F59D6">
              <w:rPr>
                <w:rFonts w:ascii="Arial" w:hAnsi="Arial" w:cs="Arial"/>
                <w:sz w:val="18"/>
                <w:szCs w:val="18"/>
              </w:rPr>
              <w:t>в том числе:</w:t>
            </w:r>
          </w:p>
        </w:tc>
        <w:tc>
          <w:tcPr>
            <w:tcW w:w="315"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9D6CD2" w:rsidRPr="009F59D6" w:rsidTr="009F6C7A">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rPr>
                <w:rFonts w:ascii="Arial" w:hAnsi="Arial" w:cs="Arial"/>
                <w:sz w:val="18"/>
                <w:szCs w:val="18"/>
              </w:rPr>
            </w:pPr>
            <w:r w:rsidRPr="009F59D6">
              <w:rPr>
                <w:rFonts w:ascii="Arial" w:hAnsi="Arial" w:cs="Arial"/>
                <w:sz w:val="18"/>
                <w:szCs w:val="18"/>
              </w:rPr>
              <w:t>коровы</w:t>
            </w:r>
          </w:p>
        </w:tc>
        <w:tc>
          <w:tcPr>
            <w:tcW w:w="315"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132,8</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138,1</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161,5</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205,2</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243,4</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246,4</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250,3</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256,4</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251,5</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244,1</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F59D6">
              <w:rPr>
                <w:rFonts w:ascii="Arial" w:hAnsi="Arial" w:cs="Arial"/>
                <w:sz w:val="18"/>
                <w:szCs w:val="18"/>
              </w:rPr>
              <w:t>146,4</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66,2</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67,4</w:t>
            </w:r>
          </w:p>
        </w:tc>
      </w:tr>
      <w:tr w:rsidR="009D6CD2" w:rsidRPr="009F59D6"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rPr>
                <w:rFonts w:ascii="Arial" w:hAnsi="Arial" w:cs="Arial"/>
                <w:sz w:val="18"/>
                <w:szCs w:val="18"/>
              </w:rPr>
            </w:pPr>
            <w:r w:rsidRPr="009F59D6">
              <w:rPr>
                <w:rFonts w:ascii="Arial" w:hAnsi="Arial" w:cs="Arial"/>
                <w:sz w:val="18"/>
                <w:szCs w:val="18"/>
              </w:rPr>
              <w:t>Свиньи</w:t>
            </w:r>
          </w:p>
        </w:tc>
        <w:tc>
          <w:tcPr>
            <w:tcW w:w="315"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89,6</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97,9</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130,1</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392,7</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361,7</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444,8</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355,4</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487,2</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549,0</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583,1</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F59D6">
              <w:rPr>
                <w:rFonts w:ascii="Arial" w:hAnsi="Arial" w:cs="Arial"/>
                <w:sz w:val="18"/>
                <w:szCs w:val="18"/>
              </w:rPr>
              <w:t>165,6</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136,6</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145,5</w:t>
            </w:r>
          </w:p>
        </w:tc>
      </w:tr>
      <w:tr w:rsidR="009D6CD2" w:rsidRPr="009F59D6" w:rsidTr="009F6C7A">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rPr>
                <w:rFonts w:ascii="Arial" w:hAnsi="Arial" w:cs="Arial"/>
                <w:sz w:val="18"/>
                <w:szCs w:val="18"/>
              </w:rPr>
            </w:pPr>
            <w:r w:rsidRPr="009F59D6">
              <w:rPr>
                <w:rFonts w:ascii="Arial" w:hAnsi="Arial" w:cs="Arial"/>
                <w:sz w:val="18"/>
                <w:szCs w:val="18"/>
              </w:rPr>
              <w:t>Овцы и козы</w:t>
            </w:r>
          </w:p>
        </w:tc>
        <w:tc>
          <w:tcPr>
            <w:tcW w:w="315"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686,1</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450,0</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720,0</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784,6</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699,5</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755,9</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672,5</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622,2</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616,2</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526,6</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F59D6">
              <w:rPr>
                <w:rFonts w:ascii="Arial" w:hAnsi="Arial" w:cs="Arial"/>
                <w:sz w:val="18"/>
                <w:szCs w:val="18"/>
              </w:rPr>
              <w:t>71,5</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64,0</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66,4</w:t>
            </w:r>
          </w:p>
        </w:tc>
      </w:tr>
      <w:tr w:rsidR="009D6CD2" w:rsidRPr="009F59D6"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rPr>
                <w:rFonts w:ascii="Arial" w:hAnsi="Arial" w:cs="Arial"/>
                <w:sz w:val="18"/>
                <w:szCs w:val="18"/>
              </w:rPr>
            </w:pPr>
            <w:r w:rsidRPr="009F59D6">
              <w:rPr>
                <w:rFonts w:ascii="Arial" w:hAnsi="Arial" w:cs="Arial"/>
                <w:sz w:val="18"/>
                <w:szCs w:val="18"/>
              </w:rPr>
              <w:t>Лошади</w:t>
            </w:r>
          </w:p>
        </w:tc>
        <w:tc>
          <w:tcPr>
            <w:tcW w:w="315"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102,4</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57,4</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73,0</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55,</w:t>
            </w:r>
            <w:r>
              <w:rPr>
                <w:rFonts w:ascii="Arial" w:hAnsi="Arial" w:cs="Arial"/>
                <w:sz w:val="18"/>
                <w:szCs w:val="18"/>
              </w:rPr>
              <w:t>5</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43,4</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39,</w:t>
            </w:r>
            <w:r>
              <w:rPr>
                <w:rFonts w:ascii="Arial" w:hAnsi="Arial" w:cs="Arial"/>
                <w:sz w:val="18"/>
                <w:szCs w:val="18"/>
              </w:rPr>
              <w:t>1</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30,0</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25,7</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24,9</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22,4</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F59D6">
              <w:rPr>
                <w:rFonts w:ascii="Arial" w:hAnsi="Arial" w:cs="Arial"/>
                <w:sz w:val="18"/>
                <w:szCs w:val="18"/>
              </w:rPr>
              <w:t>13,5</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4,2</w:t>
            </w:r>
          </w:p>
        </w:tc>
        <w:tc>
          <w:tcPr>
            <w:tcW w:w="341" w:type="pct"/>
            <w:vAlign w:val="bottom"/>
          </w:tcPr>
          <w:p w:rsidR="009D6CD2" w:rsidRPr="008C6AA8"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3,7</w:t>
            </w:r>
          </w:p>
        </w:tc>
      </w:tr>
      <w:tr w:rsidR="009D6CD2" w:rsidRPr="009F59D6" w:rsidTr="009F6C7A">
        <w:tc>
          <w:tcPr>
            <w:cnfStyle w:val="000010000000" w:firstRow="0" w:lastRow="0" w:firstColumn="0" w:lastColumn="0" w:oddVBand="1" w:evenVBand="0" w:oddHBand="0" w:evenHBand="0" w:firstRowFirstColumn="0" w:firstRowLastColumn="0" w:lastRowFirstColumn="0" w:lastRowLastColumn="0"/>
            <w:tcW w:w="591" w:type="pct"/>
          </w:tcPr>
          <w:p w:rsidR="009D6CD2" w:rsidRPr="00520AA2" w:rsidRDefault="009D6CD2" w:rsidP="009F6C7A">
            <w:pPr>
              <w:spacing w:before="120" w:after="120"/>
              <w:rPr>
                <w:rFonts w:ascii="Arial" w:hAnsi="Arial" w:cs="Arial"/>
                <w:sz w:val="18"/>
                <w:szCs w:val="18"/>
              </w:rPr>
            </w:pPr>
            <w:r w:rsidRPr="009F59D6">
              <w:rPr>
                <w:rFonts w:ascii="Arial" w:hAnsi="Arial" w:cs="Arial"/>
                <w:sz w:val="18"/>
                <w:szCs w:val="18"/>
              </w:rPr>
              <w:t>Кролик</w:t>
            </w:r>
            <w:proofErr w:type="gramStart"/>
            <w:r w:rsidRPr="009F59D6">
              <w:rPr>
                <w:rFonts w:ascii="Arial" w:hAnsi="Arial" w:cs="Arial"/>
                <w:sz w:val="18"/>
                <w:szCs w:val="18"/>
              </w:rPr>
              <w:t>и(</w:t>
            </w:r>
            <w:proofErr w:type="gramEnd"/>
            <w:r w:rsidRPr="009F59D6">
              <w:rPr>
                <w:rFonts w:ascii="Arial" w:hAnsi="Arial" w:cs="Arial"/>
                <w:sz w:val="18"/>
                <w:szCs w:val="18"/>
              </w:rPr>
              <w:t>в сель</w:t>
            </w:r>
            <w:r>
              <w:rPr>
                <w:rFonts w:ascii="Arial" w:hAnsi="Arial" w:cs="Arial"/>
                <w:sz w:val="18"/>
                <w:szCs w:val="18"/>
                <w:lang w:val="en-US"/>
              </w:rPr>
              <w:t>-</w:t>
            </w:r>
            <w:proofErr w:type="spellStart"/>
            <w:r w:rsidRPr="009F59D6">
              <w:rPr>
                <w:rFonts w:ascii="Arial" w:hAnsi="Arial" w:cs="Arial"/>
                <w:sz w:val="18"/>
                <w:szCs w:val="18"/>
              </w:rPr>
              <w:t>хозорганизациях</w:t>
            </w:r>
            <w:proofErr w:type="spellEnd"/>
            <w:r w:rsidRPr="009F59D6">
              <w:rPr>
                <w:rFonts w:ascii="Arial" w:hAnsi="Arial" w:cs="Arial"/>
                <w:sz w:val="18"/>
                <w:szCs w:val="18"/>
              </w:rPr>
              <w:t>)</w:t>
            </w:r>
          </w:p>
        </w:tc>
        <w:tc>
          <w:tcPr>
            <w:tcW w:w="315"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867CBF" w:rsidRDefault="009D6CD2" w:rsidP="009F6C7A">
            <w:pPr>
              <w:spacing w:before="120" w:after="120"/>
              <w:ind w:right="113"/>
              <w:jc w:val="right"/>
              <w:rPr>
                <w:rFonts w:ascii="Arial" w:hAnsi="Arial" w:cs="Arial"/>
                <w:sz w:val="18"/>
                <w:szCs w:val="18"/>
                <w:lang w:val="en-US"/>
              </w:rPr>
            </w:pPr>
            <w:r>
              <w:rPr>
                <w:rFonts w:ascii="Arial" w:hAnsi="Arial" w:cs="Arial"/>
                <w:sz w:val="18"/>
                <w:szCs w:val="18"/>
                <w:lang w:val="en-US"/>
              </w:rPr>
              <w:t>…</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lang w:val="en-US"/>
              </w:rPr>
              <w:t>…</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2,3</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0,7</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0,</w:t>
            </w:r>
            <w:r>
              <w:rPr>
                <w:rFonts w:ascii="Arial" w:hAnsi="Arial" w:cs="Arial"/>
                <w:sz w:val="18"/>
                <w:szCs w:val="18"/>
              </w:rPr>
              <w:t>6</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33,7</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39,4</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55,6</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12,4</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0,1</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0,3</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w:t>
            </w:r>
          </w:p>
        </w:tc>
      </w:tr>
      <w:tr w:rsidR="009D6CD2" w:rsidRPr="009F59D6"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rPr>
                <w:rFonts w:ascii="Arial" w:hAnsi="Arial" w:cs="Arial"/>
                <w:sz w:val="18"/>
                <w:szCs w:val="18"/>
              </w:rPr>
            </w:pPr>
            <w:r w:rsidRPr="009F59D6">
              <w:rPr>
                <w:rFonts w:ascii="Arial" w:hAnsi="Arial" w:cs="Arial"/>
                <w:sz w:val="18"/>
                <w:szCs w:val="18"/>
              </w:rPr>
              <w:t xml:space="preserve">Птица (в </w:t>
            </w:r>
            <w:proofErr w:type="spellStart"/>
            <w:r w:rsidRPr="009F59D6">
              <w:rPr>
                <w:rFonts w:ascii="Arial" w:hAnsi="Arial" w:cs="Arial"/>
                <w:sz w:val="18"/>
                <w:szCs w:val="18"/>
              </w:rPr>
              <w:t>сельхо</w:t>
            </w:r>
            <w:proofErr w:type="spellEnd"/>
            <w:r>
              <w:rPr>
                <w:rFonts w:ascii="Arial" w:hAnsi="Arial" w:cs="Arial"/>
                <w:sz w:val="18"/>
                <w:szCs w:val="18"/>
                <w:lang w:val="en-US"/>
              </w:rPr>
              <w:t>-</w:t>
            </w:r>
            <w:proofErr w:type="spellStart"/>
            <w:r w:rsidRPr="009F59D6">
              <w:rPr>
                <w:rFonts w:ascii="Arial" w:hAnsi="Arial" w:cs="Arial"/>
                <w:sz w:val="18"/>
                <w:szCs w:val="18"/>
              </w:rPr>
              <w:t>зорганизациях</w:t>
            </w:r>
            <w:proofErr w:type="spellEnd"/>
            <w:r w:rsidRPr="009F59D6">
              <w:rPr>
                <w:rFonts w:ascii="Arial" w:hAnsi="Arial" w:cs="Arial"/>
                <w:sz w:val="18"/>
                <w:szCs w:val="18"/>
              </w:rPr>
              <w:t>)</w:t>
            </w:r>
          </w:p>
        </w:tc>
        <w:tc>
          <w:tcPr>
            <w:tcW w:w="315"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295,8</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397,8</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737,5</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809,6</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1657,0</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2679,3</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46</w:t>
            </w:r>
            <w:r>
              <w:rPr>
                <w:rFonts w:ascii="Arial" w:hAnsi="Arial" w:cs="Arial"/>
                <w:sz w:val="18"/>
                <w:szCs w:val="18"/>
              </w:rPr>
              <w:t>03,7</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4551,7</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4891,4</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F59D6">
              <w:rPr>
                <w:rFonts w:ascii="Arial" w:hAnsi="Arial" w:cs="Arial"/>
                <w:sz w:val="18"/>
                <w:szCs w:val="18"/>
              </w:rPr>
              <w:t>1470,9</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2907,2</w:t>
            </w:r>
          </w:p>
        </w:tc>
        <w:tc>
          <w:tcPr>
            <w:tcW w:w="341" w:type="pct"/>
            <w:vAlign w:val="bottom"/>
          </w:tcPr>
          <w:p w:rsidR="009D6CD2" w:rsidRPr="009F59D6" w:rsidRDefault="009D6CD2" w:rsidP="009F6C7A">
            <w:pPr>
              <w:spacing w:before="120" w:after="120"/>
              <w:ind w:right="113"/>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3147,2</w:t>
            </w:r>
          </w:p>
        </w:tc>
      </w:tr>
      <w:tr w:rsidR="009D6CD2" w:rsidRPr="009F59D6" w:rsidTr="009F6C7A">
        <w:tc>
          <w:tcPr>
            <w:cnfStyle w:val="000010000000" w:firstRow="0" w:lastRow="0" w:firstColumn="0" w:lastColumn="0" w:oddVBand="1" w:evenVBand="0" w:oddHBand="0" w:evenHBand="0" w:firstRowFirstColumn="0" w:firstRowLastColumn="0" w:lastRowFirstColumn="0" w:lastRowLastColumn="0"/>
            <w:tcW w:w="591" w:type="pct"/>
          </w:tcPr>
          <w:p w:rsidR="009D6CD2" w:rsidRPr="009F59D6" w:rsidRDefault="009D6CD2" w:rsidP="009F6C7A">
            <w:pPr>
              <w:spacing w:before="120" w:after="120"/>
              <w:rPr>
                <w:sz w:val="18"/>
                <w:szCs w:val="18"/>
              </w:rPr>
            </w:pPr>
            <w:r w:rsidRPr="009F59D6">
              <w:rPr>
                <w:rFonts w:ascii="Arial" w:hAnsi="Arial" w:cs="Arial"/>
                <w:sz w:val="18"/>
                <w:szCs w:val="18"/>
              </w:rPr>
              <w:t xml:space="preserve">Пчелосемьи (в </w:t>
            </w:r>
            <w:proofErr w:type="spellStart"/>
            <w:r w:rsidRPr="009F59D6">
              <w:rPr>
                <w:rFonts w:ascii="Arial" w:hAnsi="Arial" w:cs="Arial"/>
                <w:sz w:val="18"/>
                <w:szCs w:val="18"/>
              </w:rPr>
              <w:t>сельхозорганиза</w:t>
            </w:r>
            <w:r w:rsidRPr="00067BF0">
              <w:rPr>
                <w:rFonts w:ascii="Arial" w:hAnsi="Arial" w:cs="Arial"/>
                <w:sz w:val="18"/>
                <w:szCs w:val="18"/>
              </w:rPr>
              <w:t>-</w:t>
            </w:r>
            <w:r w:rsidRPr="009F59D6">
              <w:rPr>
                <w:rFonts w:ascii="Arial" w:hAnsi="Arial" w:cs="Arial"/>
                <w:sz w:val="18"/>
                <w:szCs w:val="18"/>
              </w:rPr>
              <w:t>циях</w:t>
            </w:r>
            <w:proofErr w:type="spellEnd"/>
            <w:r w:rsidRPr="009F59D6">
              <w:rPr>
                <w:rFonts w:ascii="Arial" w:hAnsi="Arial" w:cs="Arial"/>
                <w:sz w:val="18"/>
                <w:szCs w:val="18"/>
              </w:rPr>
              <w:t>), тысяч семей</w:t>
            </w:r>
          </w:p>
        </w:tc>
        <w:tc>
          <w:tcPr>
            <w:tcW w:w="315"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867CBF" w:rsidRDefault="009D6CD2" w:rsidP="009F6C7A">
            <w:pPr>
              <w:spacing w:before="120" w:after="120"/>
              <w:ind w:right="113"/>
              <w:jc w:val="right"/>
              <w:rPr>
                <w:rFonts w:ascii="Arial" w:hAnsi="Arial" w:cs="Arial"/>
                <w:sz w:val="18"/>
                <w:szCs w:val="18"/>
                <w:lang w:val="en-US"/>
              </w:rPr>
            </w:pPr>
            <w:r>
              <w:rPr>
                <w:rFonts w:ascii="Arial" w:hAnsi="Arial" w:cs="Arial"/>
                <w:sz w:val="18"/>
                <w:szCs w:val="18"/>
                <w:lang w:val="en-US"/>
              </w:rPr>
              <w:t>…</w:t>
            </w:r>
          </w:p>
        </w:tc>
        <w:tc>
          <w:tcPr>
            <w:tcW w:w="341" w:type="pct"/>
            <w:vAlign w:val="bottom"/>
          </w:tcPr>
          <w:p w:rsidR="009D6CD2" w:rsidRPr="00867CBF"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41,5</w:t>
            </w:r>
          </w:p>
        </w:tc>
        <w:tc>
          <w:tcPr>
            <w:tcW w:w="341" w:type="pct"/>
            <w:vAlign w:val="bottom"/>
          </w:tcPr>
          <w:p w:rsidR="009D6CD2" w:rsidRPr="00867CBF"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39,3</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38,9</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40,4</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41,2</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sidRPr="009F59D6">
              <w:rPr>
                <w:rFonts w:ascii="Arial" w:hAnsi="Arial" w:cs="Arial"/>
                <w:sz w:val="18"/>
                <w:szCs w:val="18"/>
              </w:rPr>
              <w:t>36,5</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F59D6">
              <w:rPr>
                <w:rFonts w:ascii="Arial" w:hAnsi="Arial" w:cs="Arial"/>
                <w:sz w:val="18"/>
                <w:szCs w:val="18"/>
              </w:rPr>
              <w:t>8,7</w:t>
            </w:r>
          </w:p>
        </w:tc>
        <w:tc>
          <w:tcPr>
            <w:cnfStyle w:val="000010000000" w:firstRow="0" w:lastRow="0" w:firstColumn="0" w:lastColumn="0" w:oddVBand="1" w:evenVBand="0" w:oddHBand="0" w:evenHBand="0" w:firstRowFirstColumn="0" w:firstRowLastColumn="0" w:lastRowFirstColumn="0" w:lastRowLastColumn="0"/>
            <w:tcW w:w="341" w:type="pct"/>
            <w:vAlign w:val="bottom"/>
          </w:tcPr>
          <w:p w:rsidR="009D6CD2" w:rsidRPr="009F59D6" w:rsidRDefault="009D6CD2" w:rsidP="009F6C7A">
            <w:pPr>
              <w:spacing w:before="120" w:after="120"/>
              <w:ind w:right="113"/>
              <w:jc w:val="right"/>
              <w:rPr>
                <w:rFonts w:ascii="Arial" w:hAnsi="Arial" w:cs="Arial"/>
                <w:sz w:val="18"/>
                <w:szCs w:val="18"/>
              </w:rPr>
            </w:pPr>
            <w:r>
              <w:rPr>
                <w:rFonts w:ascii="Arial" w:hAnsi="Arial" w:cs="Arial"/>
                <w:sz w:val="18"/>
                <w:szCs w:val="18"/>
              </w:rPr>
              <w:t>1,1</w:t>
            </w:r>
          </w:p>
        </w:tc>
        <w:tc>
          <w:tcPr>
            <w:tcW w:w="341" w:type="pct"/>
            <w:vAlign w:val="bottom"/>
          </w:tcPr>
          <w:p w:rsidR="009D6CD2" w:rsidRPr="009F59D6" w:rsidRDefault="009D6CD2" w:rsidP="009F6C7A">
            <w:pPr>
              <w:spacing w:before="120" w:after="120"/>
              <w:ind w:right="113"/>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w:t>
            </w:r>
          </w:p>
        </w:tc>
      </w:tr>
    </w:tbl>
    <w:p w:rsidR="009D6CD2" w:rsidRDefault="009D6CD2" w:rsidP="009D6CD2">
      <w:pPr>
        <w:pStyle w:val="8"/>
        <w:rPr>
          <w:sz w:val="22"/>
        </w:rPr>
      </w:pPr>
    </w:p>
    <w:p w:rsidR="009D6CD2" w:rsidRDefault="009D6CD2" w:rsidP="009D6CD2">
      <w:pPr>
        <w:pStyle w:val="8"/>
        <w:rPr>
          <w:sz w:val="22"/>
        </w:rPr>
      </w:pPr>
      <w:r>
        <w:rPr>
          <w:sz w:val="22"/>
        </w:rPr>
        <w:br w:type="page"/>
      </w:r>
      <w:r>
        <w:rPr>
          <w:sz w:val="22"/>
        </w:rPr>
        <w:lastRenderedPageBreak/>
        <w:t>ПОГОЛОВЬЕ ОСНОВНЫХ ВИДОВ СКОТА В ХОЗЯЙСТВАХ ВСЕХ КАТЕГОРИЙ</w:t>
      </w:r>
    </w:p>
    <w:p w:rsidR="009D6CD2" w:rsidRDefault="009D6CD2" w:rsidP="009D6CD2">
      <w:pPr>
        <w:jc w:val="center"/>
        <w:rPr>
          <w:rFonts w:ascii="Arial" w:hAnsi="Arial" w:cs="Arial"/>
          <w:sz w:val="22"/>
        </w:rPr>
      </w:pPr>
      <w:r>
        <w:rPr>
          <w:rFonts w:ascii="Arial" w:hAnsi="Arial" w:cs="Arial"/>
          <w:sz w:val="22"/>
        </w:rPr>
        <w:t xml:space="preserve"> (на конец года; тысяч голов)</w:t>
      </w:r>
    </w:p>
    <w:p w:rsidR="009D6CD2" w:rsidRDefault="009D6CD2" w:rsidP="009D6CD2">
      <w:pPr>
        <w:pStyle w:val="8"/>
        <w:rPr>
          <w:sz w:val="22"/>
          <w:lang w:val="ru-MO"/>
        </w:rPr>
      </w:pPr>
      <w:r>
        <w:rPr>
          <w:noProof/>
          <w:sz w:val="22"/>
        </w:rPr>
        <w:drawing>
          <wp:anchor distT="0" distB="0" distL="114300" distR="114300" simplePos="0" relativeHeight="251763712" behindDoc="0" locked="0" layoutInCell="1" allowOverlap="1">
            <wp:simplePos x="0" y="0"/>
            <wp:positionH relativeFrom="column">
              <wp:posOffset>85016</wp:posOffset>
            </wp:positionH>
            <wp:positionV relativeFrom="paragraph">
              <wp:posOffset>27453</wp:posOffset>
            </wp:positionV>
            <wp:extent cx="8940372" cy="2564661"/>
            <wp:effectExtent l="19050" t="19050" r="0" b="7620"/>
            <wp:wrapNone/>
            <wp:docPr id="84" name="Объект 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p>
    <w:p w:rsidR="009D6CD2" w:rsidRDefault="009D6CD2" w:rsidP="009D6CD2">
      <w:pPr>
        <w:pStyle w:val="8"/>
        <w:rPr>
          <w:sz w:val="22"/>
        </w:rPr>
      </w:pPr>
      <w:r>
        <w:rPr>
          <w:sz w:val="22"/>
        </w:rPr>
        <w:t>ОБЪЕМ ПРОИЗВОДСТВА ОСНОВНЫХ ПРОДУКТОВ ЖИВОТНОВОДСТВА В ХОЗЯЙСТВАХ ВСЕХ КАТЕГОРИЙ</w:t>
      </w:r>
    </w:p>
    <w:p w:rsidR="009D6CD2" w:rsidRDefault="00952A6D" w:rsidP="009D6CD2">
      <w:pPr>
        <w:pStyle w:val="a5"/>
        <w:tabs>
          <w:tab w:val="clear" w:pos="4153"/>
          <w:tab w:val="clear" w:pos="8306"/>
        </w:tabs>
        <w:rPr>
          <w:rFonts w:ascii="Arial" w:hAnsi="Arial" w:cs="Arial"/>
          <w:kern w:val="28"/>
          <w:sz w:val="22"/>
        </w:rPr>
      </w:pPr>
      <w:r>
        <w:rPr>
          <w:rFonts w:ascii="Arial" w:hAnsi="Arial" w:cs="Arial"/>
          <w:noProof/>
          <w:kern w:val="28"/>
          <w:sz w:val="22"/>
        </w:rPr>
        <w:drawing>
          <wp:anchor distT="0" distB="0" distL="114300" distR="114300" simplePos="0" relativeHeight="251764736" behindDoc="0" locked="0" layoutInCell="1" allowOverlap="1">
            <wp:simplePos x="0" y="0"/>
            <wp:positionH relativeFrom="column">
              <wp:posOffset>83820</wp:posOffset>
            </wp:positionH>
            <wp:positionV relativeFrom="paragraph">
              <wp:posOffset>146685</wp:posOffset>
            </wp:positionV>
            <wp:extent cx="8938260" cy="2743200"/>
            <wp:effectExtent l="38100" t="19050" r="15240" b="0"/>
            <wp:wrapNone/>
            <wp:docPr id="85" name="Объект 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9D6CD2" w:rsidRDefault="009D6CD2" w:rsidP="009D6CD2">
      <w:pPr>
        <w:pStyle w:val="8"/>
        <w:rPr>
          <w:color w:val="FF0000"/>
          <w:sz w:val="22"/>
        </w:rPr>
      </w:pPr>
    </w:p>
    <w:p w:rsidR="009D6CD2" w:rsidRDefault="009D6CD2" w:rsidP="009D6CD2">
      <w:pPr>
        <w:pStyle w:val="1"/>
        <w:rPr>
          <w:rFonts w:cs="Arial"/>
          <w:color w:val="FF0000"/>
          <w:sz w:val="22"/>
        </w:rPr>
      </w:pPr>
    </w:p>
    <w:p w:rsidR="009D6CD2" w:rsidRDefault="009D6CD2" w:rsidP="009D6CD2">
      <w:pPr>
        <w:rPr>
          <w:rFonts w:ascii="Arial" w:hAnsi="Arial" w:cs="Arial"/>
          <w:color w:val="FF0000"/>
          <w:sz w:val="22"/>
        </w:rPr>
      </w:pPr>
    </w:p>
    <w:p w:rsidR="00952A6D" w:rsidRDefault="00952A6D">
      <w:pPr>
        <w:rPr>
          <w:rFonts w:ascii="Arial" w:hAnsi="Arial" w:cs="Arial"/>
          <w:b/>
          <w:bCs/>
          <w:sz w:val="22"/>
        </w:rPr>
      </w:pPr>
      <w:r>
        <w:rPr>
          <w:sz w:val="22"/>
        </w:rPr>
        <w:br w:type="page"/>
      </w:r>
    </w:p>
    <w:p w:rsidR="009F6C7A" w:rsidRPr="00B37742" w:rsidRDefault="009F6C7A" w:rsidP="009F6C7A">
      <w:pPr>
        <w:pStyle w:val="1"/>
        <w:rPr>
          <w:color w:val="548DD4" w:themeColor="text2" w:themeTint="99"/>
        </w:rPr>
      </w:pPr>
      <w:bookmarkStart w:id="26" w:name="_Toc309826894"/>
      <w:r w:rsidRPr="00B37742">
        <w:rPr>
          <w:color w:val="548DD4" w:themeColor="text2" w:themeTint="99"/>
        </w:rPr>
        <w:lastRenderedPageBreak/>
        <w:t>СТРОИТЕЛЬСТВО</w:t>
      </w:r>
      <w:bookmarkEnd w:id="26"/>
    </w:p>
    <w:p w:rsidR="009F6C7A" w:rsidRDefault="009F6C7A" w:rsidP="009F6C7A">
      <w:pPr>
        <w:pStyle w:val="a3"/>
        <w:spacing w:line="240" w:lineRule="auto"/>
        <w:ind w:firstLine="720"/>
        <w:jc w:val="both"/>
        <w:rPr>
          <w:rFonts w:ascii="Arial" w:hAnsi="Arial" w:cs="Arial"/>
          <w:b w:val="0"/>
        </w:rPr>
      </w:pPr>
      <w:r>
        <w:rPr>
          <w:rFonts w:ascii="Arial" w:hAnsi="Arial" w:cs="Arial"/>
          <w:b w:val="0"/>
          <w:noProof/>
        </w:rPr>
        <w:drawing>
          <wp:anchor distT="0" distB="0" distL="114300" distR="114300" simplePos="0" relativeHeight="251769856" behindDoc="0" locked="0" layoutInCell="1" allowOverlap="1">
            <wp:simplePos x="0" y="0"/>
            <wp:positionH relativeFrom="column">
              <wp:posOffset>62865</wp:posOffset>
            </wp:positionH>
            <wp:positionV relativeFrom="paragraph">
              <wp:posOffset>92075</wp:posOffset>
            </wp:positionV>
            <wp:extent cx="1972310" cy="1477645"/>
            <wp:effectExtent l="19050" t="0" r="8890" b="0"/>
            <wp:wrapSquare wrapText="bothSides"/>
            <wp:docPr id="36" name="Рисунок 72" descr="строительст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оительство1.jpg"/>
                    <pic:cNvPicPr/>
                  </pic:nvPicPr>
                  <pic:blipFill>
                    <a:blip r:embed="rId48"/>
                    <a:stretch>
                      <a:fillRect/>
                    </a:stretch>
                  </pic:blipFill>
                  <pic:spPr>
                    <a:xfrm>
                      <a:off x="0" y="0"/>
                      <a:ext cx="1972310" cy="1477645"/>
                    </a:xfrm>
                    <a:prstGeom prst="rect">
                      <a:avLst/>
                    </a:prstGeom>
                    <a:ln>
                      <a:noFill/>
                    </a:ln>
                    <a:effectLst>
                      <a:softEdge rad="112500"/>
                    </a:effectLst>
                  </pic:spPr>
                </pic:pic>
              </a:graphicData>
            </a:graphic>
          </wp:anchor>
        </w:drawing>
      </w:r>
    </w:p>
    <w:p w:rsidR="009F6C7A" w:rsidRPr="00332CFF" w:rsidRDefault="009F6C7A" w:rsidP="009F6C7A">
      <w:pPr>
        <w:pStyle w:val="a3"/>
        <w:spacing w:line="240" w:lineRule="auto"/>
        <w:jc w:val="both"/>
        <w:rPr>
          <w:rFonts w:ascii="Arial" w:hAnsi="Arial" w:cs="Arial"/>
          <w:b w:val="0"/>
        </w:rPr>
      </w:pPr>
      <w:r w:rsidRPr="00332CFF">
        <w:rPr>
          <w:rFonts w:ascii="Arial" w:hAnsi="Arial" w:cs="Arial"/>
          <w:b w:val="0"/>
        </w:rPr>
        <w:t>В области всегда уделялось особое внимание строительству жилых домов и объектов социально-культурно</w:t>
      </w:r>
      <w:r>
        <w:rPr>
          <w:rFonts w:ascii="Arial" w:hAnsi="Arial" w:cs="Arial"/>
          <w:b w:val="0"/>
        </w:rPr>
        <w:t>й сферы</w:t>
      </w:r>
      <w:r w:rsidRPr="00332CFF">
        <w:rPr>
          <w:rFonts w:ascii="Arial" w:hAnsi="Arial" w:cs="Arial"/>
          <w:b w:val="0"/>
        </w:rPr>
        <w:t>. В послевоенные годы область активно включилась в жилищное строительство. За период с 1946 г. по 1950 г. введено 632,6 тыс. кв. метров общей площади жилых домов. Наиболее выс</w:t>
      </w:r>
      <w:r w:rsidRPr="00332CFF">
        <w:rPr>
          <w:rFonts w:ascii="Arial" w:hAnsi="Arial" w:cs="Arial"/>
          <w:b w:val="0"/>
        </w:rPr>
        <w:t>о</w:t>
      </w:r>
      <w:r w:rsidRPr="00332CFF">
        <w:rPr>
          <w:rFonts w:ascii="Arial" w:hAnsi="Arial" w:cs="Arial"/>
          <w:b w:val="0"/>
        </w:rPr>
        <w:t>кие темпы строительства жилья наблюдались с 1986 г. по 1990 г. В это время в среднем за год сдав</w:t>
      </w:r>
      <w:r w:rsidRPr="00332CFF">
        <w:rPr>
          <w:rFonts w:ascii="Arial" w:hAnsi="Arial" w:cs="Arial"/>
          <w:b w:val="0"/>
        </w:rPr>
        <w:t>а</w:t>
      </w:r>
      <w:r w:rsidRPr="00332CFF">
        <w:rPr>
          <w:rFonts w:ascii="Arial" w:hAnsi="Arial" w:cs="Arial"/>
          <w:b w:val="0"/>
        </w:rPr>
        <w:t>лось по 861 тыс. кв. метров. В 1988 г. ввод в действие жилых домов был максимальный и составлял 951,4 тыс. кв. метров. За период с 1991 г. по 1995 г. в среднем за год  было введено 450,1 тыс.кв</w:t>
      </w:r>
      <w:proofErr w:type="gramStart"/>
      <w:r w:rsidRPr="00332CFF">
        <w:rPr>
          <w:rFonts w:ascii="Arial" w:hAnsi="Arial" w:cs="Arial"/>
          <w:b w:val="0"/>
        </w:rPr>
        <w:t>.м</w:t>
      </w:r>
      <w:proofErr w:type="gramEnd"/>
      <w:r w:rsidRPr="00332CFF">
        <w:rPr>
          <w:rFonts w:ascii="Arial" w:hAnsi="Arial" w:cs="Arial"/>
          <w:b w:val="0"/>
        </w:rPr>
        <w:t>етров, что в 1,9 раза меньше, чем в среднем за пять предшествующих лет. За 1996-2000 гг. в среднем за год сдавалось 270 тыс.кв</w:t>
      </w:r>
      <w:proofErr w:type="gramStart"/>
      <w:r w:rsidRPr="00332CFF">
        <w:rPr>
          <w:rFonts w:ascii="Arial" w:hAnsi="Arial" w:cs="Arial"/>
          <w:b w:val="0"/>
        </w:rPr>
        <w:t>.м</w:t>
      </w:r>
      <w:proofErr w:type="gramEnd"/>
      <w:r w:rsidRPr="00332CFF">
        <w:rPr>
          <w:rFonts w:ascii="Arial" w:hAnsi="Arial" w:cs="Arial"/>
          <w:b w:val="0"/>
        </w:rPr>
        <w:t>етров, в среднем за 2001</w:t>
      </w:r>
      <w:r>
        <w:rPr>
          <w:rFonts w:ascii="Arial" w:hAnsi="Arial" w:cs="Arial"/>
          <w:b w:val="0"/>
        </w:rPr>
        <w:t>–</w:t>
      </w:r>
      <w:r w:rsidRPr="00332CFF">
        <w:rPr>
          <w:rFonts w:ascii="Arial" w:hAnsi="Arial" w:cs="Arial"/>
          <w:b w:val="0"/>
        </w:rPr>
        <w:t xml:space="preserve">2005 гг. </w:t>
      </w:r>
      <w:r>
        <w:rPr>
          <w:rFonts w:ascii="Arial" w:hAnsi="Arial" w:cs="Arial"/>
          <w:b w:val="0"/>
        </w:rPr>
        <w:t>–</w:t>
      </w:r>
      <w:r w:rsidRPr="00332CFF">
        <w:rPr>
          <w:rFonts w:ascii="Arial" w:hAnsi="Arial" w:cs="Arial"/>
          <w:b w:val="0"/>
        </w:rPr>
        <w:t xml:space="preserve"> 210,9 тыс. кв.метров жилья, что ниже средн</w:t>
      </w:r>
      <w:r w:rsidRPr="00332CFF">
        <w:rPr>
          <w:rFonts w:ascii="Arial" w:hAnsi="Arial" w:cs="Arial"/>
          <w:b w:val="0"/>
        </w:rPr>
        <w:t>е</w:t>
      </w:r>
      <w:r w:rsidRPr="00332CFF">
        <w:rPr>
          <w:rFonts w:ascii="Arial" w:hAnsi="Arial" w:cs="Arial"/>
          <w:b w:val="0"/>
        </w:rPr>
        <w:t xml:space="preserve">годового уровня 1951-1955 гг., когда вводилось по 218,9 тыс. кв. метров. Спад </w:t>
      </w:r>
      <w:r>
        <w:rPr>
          <w:rFonts w:ascii="Arial" w:hAnsi="Arial" w:cs="Arial"/>
          <w:b w:val="0"/>
        </w:rPr>
        <w:t xml:space="preserve">в </w:t>
      </w:r>
      <w:r w:rsidRPr="00332CFF">
        <w:rPr>
          <w:rFonts w:ascii="Arial" w:hAnsi="Arial" w:cs="Arial"/>
          <w:b w:val="0"/>
        </w:rPr>
        <w:t>строительств</w:t>
      </w:r>
      <w:r>
        <w:rPr>
          <w:rFonts w:ascii="Arial" w:hAnsi="Arial" w:cs="Arial"/>
          <w:b w:val="0"/>
        </w:rPr>
        <w:t>е</w:t>
      </w:r>
      <w:r w:rsidRPr="00332CFF">
        <w:rPr>
          <w:rFonts w:ascii="Arial" w:hAnsi="Arial" w:cs="Arial"/>
          <w:b w:val="0"/>
        </w:rPr>
        <w:t xml:space="preserve"> жилья, нача</w:t>
      </w:r>
      <w:r>
        <w:rPr>
          <w:rFonts w:ascii="Arial" w:hAnsi="Arial" w:cs="Arial"/>
          <w:b w:val="0"/>
        </w:rPr>
        <w:t xml:space="preserve">вшийся </w:t>
      </w:r>
      <w:r w:rsidRPr="00332CFF">
        <w:rPr>
          <w:rFonts w:ascii="Arial" w:hAnsi="Arial" w:cs="Arial"/>
          <w:b w:val="0"/>
        </w:rPr>
        <w:t xml:space="preserve"> в 1989 г., достиг к 2004 г. значения - 157,2 тыс.кв</w:t>
      </w:r>
      <w:proofErr w:type="gramStart"/>
      <w:r w:rsidRPr="00332CFF">
        <w:rPr>
          <w:rFonts w:ascii="Arial" w:hAnsi="Arial" w:cs="Arial"/>
          <w:b w:val="0"/>
        </w:rPr>
        <w:t>.м</w:t>
      </w:r>
      <w:proofErr w:type="gramEnd"/>
      <w:r w:rsidRPr="00332CFF">
        <w:rPr>
          <w:rFonts w:ascii="Arial" w:hAnsi="Arial" w:cs="Arial"/>
          <w:b w:val="0"/>
        </w:rPr>
        <w:t>етров. С 2005 г</w:t>
      </w:r>
      <w:r>
        <w:rPr>
          <w:rFonts w:ascii="Arial" w:hAnsi="Arial" w:cs="Arial"/>
          <w:b w:val="0"/>
        </w:rPr>
        <w:t>.</w:t>
      </w:r>
      <w:r w:rsidRPr="00332CFF">
        <w:rPr>
          <w:rFonts w:ascii="Arial" w:hAnsi="Arial" w:cs="Arial"/>
          <w:b w:val="0"/>
        </w:rPr>
        <w:t xml:space="preserve"> строительство жилья оживилось. За 2006</w:t>
      </w:r>
      <w:r>
        <w:rPr>
          <w:rFonts w:ascii="Arial" w:hAnsi="Arial" w:cs="Arial"/>
          <w:b w:val="0"/>
        </w:rPr>
        <w:t>–</w:t>
      </w:r>
      <w:r w:rsidRPr="00332CFF">
        <w:rPr>
          <w:rFonts w:ascii="Arial" w:hAnsi="Arial" w:cs="Arial"/>
          <w:b w:val="0"/>
        </w:rPr>
        <w:t>2010 гг. введ</w:t>
      </w:r>
      <w:r w:rsidRPr="00332CFF">
        <w:rPr>
          <w:rFonts w:ascii="Arial" w:hAnsi="Arial" w:cs="Arial"/>
          <w:b w:val="0"/>
        </w:rPr>
        <w:t>е</w:t>
      </w:r>
      <w:r w:rsidRPr="00332CFF">
        <w:rPr>
          <w:rFonts w:ascii="Arial" w:hAnsi="Arial" w:cs="Arial"/>
          <w:b w:val="0"/>
        </w:rPr>
        <w:t>но 2275,3 тыс.кв</w:t>
      </w:r>
      <w:proofErr w:type="gramStart"/>
      <w:r w:rsidRPr="00332CFF">
        <w:rPr>
          <w:rFonts w:ascii="Arial" w:hAnsi="Arial" w:cs="Arial"/>
          <w:b w:val="0"/>
        </w:rPr>
        <w:t>.м</w:t>
      </w:r>
      <w:proofErr w:type="gramEnd"/>
      <w:r w:rsidRPr="00332CFF">
        <w:rPr>
          <w:rFonts w:ascii="Arial" w:hAnsi="Arial" w:cs="Arial"/>
          <w:b w:val="0"/>
        </w:rPr>
        <w:t>етров, в среднем за год – 455,1</w:t>
      </w:r>
      <w:r>
        <w:rPr>
          <w:rFonts w:ascii="Arial" w:hAnsi="Arial" w:cs="Arial"/>
          <w:b w:val="0"/>
        </w:rPr>
        <w:t>, в 2011 г. – 553,8 тыс.кв.метров</w:t>
      </w:r>
      <w:r w:rsidRPr="00332CFF">
        <w:rPr>
          <w:rFonts w:ascii="Arial" w:hAnsi="Arial" w:cs="Arial"/>
          <w:b w:val="0"/>
        </w:rPr>
        <w:t>. Ввод в действие жилых домов за счет бюджетного ф</w:t>
      </w:r>
      <w:r w:rsidRPr="00332CFF">
        <w:rPr>
          <w:rFonts w:ascii="Arial" w:hAnsi="Arial" w:cs="Arial"/>
          <w:b w:val="0"/>
        </w:rPr>
        <w:t>и</w:t>
      </w:r>
      <w:r w:rsidRPr="00332CFF">
        <w:rPr>
          <w:rFonts w:ascii="Arial" w:hAnsi="Arial" w:cs="Arial"/>
          <w:b w:val="0"/>
        </w:rPr>
        <w:t>нансирования сокращается</w:t>
      </w:r>
      <w:r>
        <w:rPr>
          <w:rFonts w:ascii="Arial" w:hAnsi="Arial" w:cs="Arial"/>
          <w:b w:val="0"/>
        </w:rPr>
        <w:t xml:space="preserve">: в 1996–2000 гг. </w:t>
      </w:r>
      <w:r w:rsidRPr="00332CFF">
        <w:rPr>
          <w:rFonts w:ascii="Arial" w:hAnsi="Arial" w:cs="Arial"/>
          <w:b w:val="0"/>
        </w:rPr>
        <w:t>сдано 60,5 тыс.кв</w:t>
      </w:r>
      <w:proofErr w:type="gramStart"/>
      <w:r w:rsidRPr="00332CFF">
        <w:rPr>
          <w:rFonts w:ascii="Arial" w:hAnsi="Arial" w:cs="Arial"/>
          <w:b w:val="0"/>
        </w:rPr>
        <w:t>.м</w:t>
      </w:r>
      <w:proofErr w:type="gramEnd"/>
      <w:r w:rsidRPr="00332CFF">
        <w:rPr>
          <w:rFonts w:ascii="Arial" w:hAnsi="Arial" w:cs="Arial"/>
          <w:b w:val="0"/>
        </w:rPr>
        <w:t xml:space="preserve">етров, в 2001-2005 гг. </w:t>
      </w:r>
      <w:r>
        <w:rPr>
          <w:rFonts w:ascii="Arial" w:hAnsi="Arial" w:cs="Arial"/>
          <w:b w:val="0"/>
        </w:rPr>
        <w:t>– 50,1</w:t>
      </w:r>
      <w:r w:rsidRPr="00332CFF">
        <w:rPr>
          <w:rFonts w:ascii="Arial" w:hAnsi="Arial" w:cs="Arial"/>
          <w:b w:val="0"/>
        </w:rPr>
        <w:t xml:space="preserve">, </w:t>
      </w:r>
      <w:r>
        <w:rPr>
          <w:rFonts w:ascii="Arial" w:hAnsi="Arial" w:cs="Arial"/>
          <w:b w:val="0"/>
        </w:rPr>
        <w:t xml:space="preserve"> в 2006-2010 гг. – 31,9, в 2011 г. – 0,5 тыс. кв. метров</w:t>
      </w:r>
      <w:r w:rsidRPr="00332CFF">
        <w:rPr>
          <w:rFonts w:ascii="Arial" w:hAnsi="Arial" w:cs="Arial"/>
          <w:b w:val="0"/>
        </w:rPr>
        <w:t>.</w:t>
      </w:r>
    </w:p>
    <w:p w:rsidR="009F6C7A" w:rsidRDefault="009F6C7A" w:rsidP="009F6C7A">
      <w:pPr>
        <w:pStyle w:val="8"/>
        <w:rPr>
          <w:sz w:val="22"/>
        </w:rPr>
      </w:pPr>
      <w:r>
        <w:rPr>
          <w:sz w:val="22"/>
        </w:rPr>
        <w:t>ВВОД В ДЕЙСТВИЕ ЖИЛЫХ ДОМОВ</w:t>
      </w:r>
    </w:p>
    <w:p w:rsidR="009F6C7A" w:rsidRDefault="009F6C7A" w:rsidP="009F6C7A">
      <w:pPr>
        <w:spacing w:after="120"/>
        <w:jc w:val="center"/>
        <w:rPr>
          <w:rFonts w:ascii="Arial" w:hAnsi="Arial" w:cs="Arial"/>
          <w:sz w:val="22"/>
        </w:rPr>
      </w:pPr>
      <w:r>
        <w:rPr>
          <w:rFonts w:ascii="Arial" w:hAnsi="Arial" w:cs="Arial"/>
          <w:sz w:val="22"/>
        </w:rPr>
        <w:t>(в среднем за год)</w:t>
      </w:r>
    </w:p>
    <w:p w:rsidR="009F6C7A" w:rsidRDefault="009F6C7A" w:rsidP="009F6C7A">
      <w:pPr>
        <w:spacing w:after="240"/>
        <w:rPr>
          <w:rFonts w:ascii="Arial" w:hAnsi="Arial" w:cs="Arial"/>
          <w:sz w:val="22"/>
        </w:rPr>
      </w:pPr>
      <w:r w:rsidRPr="003C3C69">
        <w:rPr>
          <w:rFonts w:ascii="Arial" w:hAnsi="Arial" w:cs="Arial"/>
          <w:noProof/>
          <w:sz w:val="22"/>
        </w:rPr>
        <w:drawing>
          <wp:inline distT="0" distB="0" distL="0" distR="0">
            <wp:extent cx="8941642" cy="3000597"/>
            <wp:effectExtent l="38100" t="19050" r="11858" b="9303"/>
            <wp:docPr id="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F6C7A" w:rsidRDefault="009F6C7A" w:rsidP="009F6C7A">
      <w:pPr>
        <w:rPr>
          <w:rFonts w:ascii="Arial" w:hAnsi="Arial" w:cs="Arial"/>
          <w:sz w:val="22"/>
        </w:rPr>
      </w:pPr>
    </w:p>
    <w:p w:rsidR="009F6C7A" w:rsidRDefault="009F6C7A" w:rsidP="009F6C7A">
      <w:pPr>
        <w:ind w:firstLine="709"/>
        <w:jc w:val="both"/>
        <w:rPr>
          <w:rFonts w:ascii="Arial" w:hAnsi="Arial" w:cs="Arial"/>
          <w:sz w:val="22"/>
        </w:rPr>
      </w:pPr>
      <w:r w:rsidRPr="00E15860">
        <w:rPr>
          <w:rFonts w:ascii="Arial" w:hAnsi="Arial" w:cs="Arial"/>
          <w:sz w:val="22"/>
        </w:rPr>
        <w:lastRenderedPageBreak/>
        <w:t>В 1960 г. в области были организованы жилищно-строительные кооперативы. За 1961 – 1965 гг. ими построен 21 жилой дом (1437 квартир) общей площадью 60,5 тыс. кв. метров. Наибольшее развитие кооперативное строительство получило в 1991–1995 гг., когда б</w:t>
      </w:r>
      <w:r w:rsidRPr="00E15860">
        <w:rPr>
          <w:rFonts w:ascii="Arial" w:hAnsi="Arial" w:cs="Arial"/>
          <w:sz w:val="22"/>
        </w:rPr>
        <w:t>ы</w:t>
      </w:r>
      <w:r w:rsidRPr="00E15860">
        <w:rPr>
          <w:rFonts w:ascii="Arial" w:hAnsi="Arial" w:cs="Arial"/>
          <w:sz w:val="22"/>
        </w:rPr>
        <w:t>ло введено 149,3 тыс. кв. метров общей площади жилых домов. За период 1996-2000 гг. сдано 141,4 тыс.кв</w:t>
      </w:r>
      <w:proofErr w:type="gramStart"/>
      <w:r w:rsidRPr="00E15860">
        <w:rPr>
          <w:rFonts w:ascii="Arial" w:hAnsi="Arial" w:cs="Arial"/>
          <w:sz w:val="22"/>
        </w:rPr>
        <w:t>.м</w:t>
      </w:r>
      <w:proofErr w:type="gramEnd"/>
      <w:r w:rsidRPr="00E15860">
        <w:rPr>
          <w:rFonts w:ascii="Arial" w:hAnsi="Arial" w:cs="Arial"/>
          <w:sz w:val="22"/>
        </w:rPr>
        <w:t>етров, за 2001-2005 гг. – 35,7 тыс.кв.метров, за 2006</w:t>
      </w:r>
      <w:r>
        <w:rPr>
          <w:rFonts w:ascii="Arial" w:hAnsi="Arial" w:cs="Arial"/>
          <w:sz w:val="22"/>
        </w:rPr>
        <w:t>–</w:t>
      </w:r>
      <w:r w:rsidRPr="00E15860">
        <w:rPr>
          <w:rFonts w:ascii="Arial" w:hAnsi="Arial" w:cs="Arial"/>
          <w:sz w:val="22"/>
        </w:rPr>
        <w:t>20</w:t>
      </w:r>
      <w:r>
        <w:rPr>
          <w:rFonts w:ascii="Arial" w:hAnsi="Arial" w:cs="Arial"/>
          <w:sz w:val="22"/>
        </w:rPr>
        <w:t>10</w:t>
      </w:r>
      <w:r w:rsidRPr="00E15860">
        <w:rPr>
          <w:rFonts w:ascii="Arial" w:hAnsi="Arial" w:cs="Arial"/>
          <w:sz w:val="22"/>
        </w:rPr>
        <w:t xml:space="preserve"> гг. – </w:t>
      </w:r>
      <w:r>
        <w:rPr>
          <w:rFonts w:ascii="Arial" w:hAnsi="Arial" w:cs="Arial"/>
          <w:sz w:val="22"/>
        </w:rPr>
        <w:t xml:space="preserve">21,2 </w:t>
      </w:r>
      <w:r w:rsidRPr="00E15860">
        <w:rPr>
          <w:rFonts w:ascii="Arial" w:hAnsi="Arial" w:cs="Arial"/>
          <w:sz w:val="22"/>
        </w:rPr>
        <w:t>тыс.кв.метров.</w:t>
      </w:r>
    </w:p>
    <w:p w:rsidR="009F6C7A" w:rsidRDefault="009F6C7A" w:rsidP="009F6C7A">
      <w:pPr>
        <w:ind w:firstLine="709"/>
        <w:jc w:val="both"/>
        <w:rPr>
          <w:rFonts w:ascii="Arial" w:hAnsi="Arial" w:cs="Arial"/>
          <w:sz w:val="22"/>
        </w:rPr>
      </w:pPr>
      <w:r>
        <w:rPr>
          <w:rFonts w:ascii="Arial" w:hAnsi="Arial" w:cs="Arial"/>
          <w:sz w:val="22"/>
        </w:rPr>
        <w:t>Населением активно строилось индивидуальное жилье в 1961 – 1965 гг. (804,3 тыс. кв. метров). Удельный вес такого жилья с</w:t>
      </w:r>
      <w:r>
        <w:rPr>
          <w:rFonts w:ascii="Arial" w:hAnsi="Arial" w:cs="Arial"/>
          <w:sz w:val="22"/>
        </w:rPr>
        <w:t>о</w:t>
      </w:r>
      <w:r>
        <w:rPr>
          <w:rFonts w:ascii="Arial" w:hAnsi="Arial" w:cs="Arial"/>
          <w:sz w:val="22"/>
        </w:rPr>
        <w:t>ставлял 38,0% в общем вводе, при среднегодовой сдаче в эксплуатацию – 423 тыс. кв. метров общей площади жилых домов. В послед</w:t>
      </w:r>
      <w:r>
        <w:rPr>
          <w:rFonts w:ascii="Arial" w:hAnsi="Arial" w:cs="Arial"/>
          <w:sz w:val="22"/>
        </w:rPr>
        <w:t>у</w:t>
      </w:r>
      <w:r>
        <w:rPr>
          <w:rFonts w:ascii="Arial" w:hAnsi="Arial" w:cs="Arial"/>
          <w:sz w:val="22"/>
        </w:rPr>
        <w:t>ющие годы, когда жилищное строительство осуществлялось в больших объемах за счет государственных средств, индивидуальное ж</w:t>
      </w:r>
      <w:r>
        <w:rPr>
          <w:rFonts w:ascii="Arial" w:hAnsi="Arial" w:cs="Arial"/>
          <w:sz w:val="22"/>
        </w:rPr>
        <w:t>и</w:t>
      </w:r>
      <w:r>
        <w:rPr>
          <w:rFonts w:ascii="Arial" w:hAnsi="Arial" w:cs="Arial"/>
          <w:sz w:val="22"/>
        </w:rPr>
        <w:t>лищное строительство начало сокращаться и минимальный ввод был в 1987 г. – 19,2 тыс. кв. метров (2,1% в общем вводе жилья по о</w:t>
      </w:r>
      <w:r>
        <w:rPr>
          <w:rFonts w:ascii="Arial" w:hAnsi="Arial" w:cs="Arial"/>
          <w:sz w:val="22"/>
        </w:rPr>
        <w:t>б</w:t>
      </w:r>
      <w:r>
        <w:rPr>
          <w:rFonts w:ascii="Arial" w:hAnsi="Arial" w:cs="Arial"/>
          <w:sz w:val="22"/>
        </w:rPr>
        <w:t xml:space="preserve">ласти). Начиная с 1990 г. наблюдается рост индивидуального жилищного строительства и в 2011 г. было построено 2013 жилых домов  общей площадью 339,1 тыс. кв. метров. </w:t>
      </w:r>
      <w:proofErr w:type="gramStart"/>
      <w:r>
        <w:rPr>
          <w:rFonts w:ascii="Arial" w:hAnsi="Arial" w:cs="Arial"/>
          <w:sz w:val="22"/>
        </w:rPr>
        <w:t>В период с 2006 по 2010 гг. сдано 1298,4 тыс. кв. метров жилья, что в 1,6 раза больше, чем в 1961–1965 гг. Удельный вес  жилых домов, построенных населением в 2011 г., составил 61,2% в общем вводе жилья по области, в 2010 г.– 61,9%, в 2005 г. –  40,2%. Ввод индивидуальных жилых домов в 2011 г. превысил уровень 2005 г. в 2,9</w:t>
      </w:r>
      <w:proofErr w:type="gramEnd"/>
      <w:r>
        <w:rPr>
          <w:rFonts w:ascii="Arial" w:hAnsi="Arial" w:cs="Arial"/>
          <w:sz w:val="22"/>
        </w:rPr>
        <w:t xml:space="preserve"> раза, в 3,9 раза – уровень 2000 г. и в 15,6 раза – уровень 1990 г.</w:t>
      </w:r>
    </w:p>
    <w:p w:rsidR="009F6C7A" w:rsidRDefault="009F6C7A" w:rsidP="009F6C7A">
      <w:pPr>
        <w:pStyle w:val="8"/>
        <w:rPr>
          <w:sz w:val="22"/>
        </w:rPr>
      </w:pPr>
    </w:p>
    <w:p w:rsidR="009F6C7A" w:rsidRDefault="009F6C7A" w:rsidP="009F6C7A">
      <w:pPr>
        <w:pStyle w:val="8"/>
        <w:rPr>
          <w:sz w:val="22"/>
        </w:rPr>
      </w:pPr>
      <w:r>
        <w:rPr>
          <w:sz w:val="22"/>
        </w:rPr>
        <w:t>ВВОД В ДЕЙСТВИЕ ЖИЛЫХ  ДОМОВ</w:t>
      </w:r>
    </w:p>
    <w:p w:rsidR="009F6C7A" w:rsidRDefault="009F6C7A" w:rsidP="009F6C7A">
      <w:pPr>
        <w:pStyle w:val="a3"/>
        <w:spacing w:before="120" w:after="120" w:line="240" w:lineRule="auto"/>
        <w:rPr>
          <w:rFonts w:ascii="Arial" w:hAnsi="Arial" w:cs="Arial"/>
          <w:b w:val="0"/>
        </w:rPr>
      </w:pPr>
      <w:r>
        <w:rPr>
          <w:rFonts w:ascii="Arial" w:hAnsi="Arial" w:cs="Arial"/>
          <w:b w:val="0"/>
        </w:rPr>
        <w:t>(тыс. кв. метров общей площади)</w:t>
      </w:r>
    </w:p>
    <w:tbl>
      <w:tblPr>
        <w:tblStyle w:val="-11"/>
        <w:tblW w:w="5000" w:type="pct"/>
        <w:tblLook w:val="0000" w:firstRow="0" w:lastRow="0" w:firstColumn="0" w:lastColumn="0" w:noHBand="0" w:noVBand="0"/>
      </w:tblPr>
      <w:tblGrid>
        <w:gridCol w:w="2913"/>
        <w:gridCol w:w="2912"/>
        <w:gridCol w:w="2895"/>
        <w:gridCol w:w="2895"/>
        <w:gridCol w:w="2889"/>
      </w:tblGrid>
      <w:tr w:rsidR="009F6C7A" w:rsidRPr="00095A32"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4" w:type="pct"/>
            <w:vMerge w:val="restart"/>
            <w:shd w:val="clear" w:color="auto" w:fill="C6D9F1" w:themeFill="text2" w:themeFillTint="33"/>
          </w:tcPr>
          <w:p w:rsidR="009F6C7A" w:rsidRPr="00095A32" w:rsidRDefault="009F6C7A" w:rsidP="009F6C7A">
            <w:pPr>
              <w:spacing w:before="40" w:after="40"/>
              <w:jc w:val="center"/>
              <w:rPr>
                <w:rFonts w:ascii="Arial" w:hAnsi="Arial" w:cs="Arial"/>
                <w:sz w:val="18"/>
                <w:szCs w:val="18"/>
              </w:rPr>
            </w:pPr>
            <w:r w:rsidRPr="00095A32">
              <w:rPr>
                <w:rFonts w:ascii="Arial" w:hAnsi="Arial" w:cs="Arial"/>
                <w:sz w:val="18"/>
                <w:szCs w:val="18"/>
              </w:rPr>
              <w:t>Годы</w:t>
            </w:r>
          </w:p>
        </w:tc>
        <w:tc>
          <w:tcPr>
            <w:tcW w:w="1004" w:type="pct"/>
            <w:vMerge w:val="restart"/>
            <w:shd w:val="clear" w:color="auto" w:fill="C6D9F1" w:themeFill="text2" w:themeFillTint="33"/>
          </w:tcPr>
          <w:p w:rsidR="009F6C7A" w:rsidRPr="00095A32" w:rsidRDefault="009F6C7A" w:rsidP="009F6C7A">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Всего</w:t>
            </w:r>
          </w:p>
        </w:tc>
        <w:tc>
          <w:tcPr>
            <w:cnfStyle w:val="000010000000" w:firstRow="0" w:lastRow="0" w:firstColumn="0" w:lastColumn="0" w:oddVBand="1" w:evenVBand="0" w:oddHBand="0" w:evenHBand="0" w:firstRowFirstColumn="0" w:firstRowLastColumn="0" w:lastRowFirstColumn="0" w:lastRowLastColumn="0"/>
            <w:tcW w:w="2992" w:type="pct"/>
            <w:gridSpan w:val="3"/>
            <w:shd w:val="clear" w:color="auto" w:fill="C6D9F1" w:themeFill="text2" w:themeFillTint="33"/>
          </w:tcPr>
          <w:p w:rsidR="009F6C7A" w:rsidRPr="00095A32" w:rsidRDefault="009F6C7A" w:rsidP="009F6C7A">
            <w:pPr>
              <w:spacing w:before="40" w:after="40"/>
              <w:jc w:val="center"/>
              <w:rPr>
                <w:rFonts w:ascii="Arial" w:hAnsi="Arial" w:cs="Arial"/>
                <w:sz w:val="18"/>
                <w:szCs w:val="18"/>
              </w:rPr>
            </w:pPr>
            <w:r w:rsidRPr="00095A32">
              <w:rPr>
                <w:rFonts w:ascii="Arial" w:hAnsi="Arial" w:cs="Arial"/>
                <w:sz w:val="18"/>
                <w:szCs w:val="18"/>
              </w:rPr>
              <w:t xml:space="preserve">В том числе </w:t>
            </w:r>
          </w:p>
        </w:tc>
      </w:tr>
      <w:tr w:rsidR="009F6C7A" w:rsidRPr="00095A32" w:rsidTr="009F6C7A">
        <w:tc>
          <w:tcPr>
            <w:cnfStyle w:val="000010000000" w:firstRow="0" w:lastRow="0" w:firstColumn="0" w:lastColumn="0" w:oddVBand="1" w:evenVBand="0" w:oddHBand="0" w:evenHBand="0" w:firstRowFirstColumn="0" w:firstRowLastColumn="0" w:lastRowFirstColumn="0" w:lastRowLastColumn="0"/>
            <w:tcW w:w="1004" w:type="pct"/>
            <w:vMerge/>
            <w:shd w:val="clear" w:color="auto" w:fill="C6D9F1" w:themeFill="text2" w:themeFillTint="33"/>
          </w:tcPr>
          <w:p w:rsidR="009F6C7A" w:rsidRPr="00095A32" w:rsidRDefault="009F6C7A" w:rsidP="009F6C7A">
            <w:pPr>
              <w:spacing w:before="40" w:after="40"/>
              <w:jc w:val="center"/>
              <w:rPr>
                <w:rFonts w:ascii="Arial" w:hAnsi="Arial" w:cs="Arial"/>
                <w:sz w:val="18"/>
                <w:szCs w:val="18"/>
              </w:rPr>
            </w:pPr>
          </w:p>
        </w:tc>
        <w:tc>
          <w:tcPr>
            <w:tcW w:w="1004" w:type="pct"/>
            <w:vMerge/>
            <w:shd w:val="clear" w:color="auto" w:fill="C6D9F1" w:themeFill="text2" w:themeFillTint="33"/>
          </w:tcPr>
          <w:p w:rsidR="009F6C7A" w:rsidRPr="00095A32" w:rsidRDefault="009F6C7A" w:rsidP="009F6C7A">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998" w:type="pct"/>
            <w:shd w:val="clear" w:color="auto" w:fill="C6D9F1" w:themeFill="text2" w:themeFillTint="33"/>
          </w:tcPr>
          <w:p w:rsidR="009F6C7A" w:rsidRPr="00095A32" w:rsidRDefault="009F6C7A" w:rsidP="009F6C7A">
            <w:pPr>
              <w:tabs>
                <w:tab w:val="left" w:pos="1844"/>
              </w:tabs>
              <w:spacing w:before="40" w:after="40"/>
              <w:ind w:left="57" w:firstLine="14"/>
              <w:rPr>
                <w:rFonts w:ascii="Arial" w:hAnsi="Arial" w:cs="Arial"/>
                <w:sz w:val="18"/>
                <w:szCs w:val="18"/>
              </w:rPr>
            </w:pPr>
            <w:r w:rsidRPr="00095A32">
              <w:rPr>
                <w:rFonts w:ascii="Arial" w:hAnsi="Arial" w:cs="Arial"/>
                <w:sz w:val="18"/>
                <w:szCs w:val="18"/>
              </w:rPr>
              <w:t xml:space="preserve">государственными и другими </w:t>
            </w:r>
            <w:r w:rsidRPr="00095A32">
              <w:rPr>
                <w:rFonts w:ascii="Arial" w:hAnsi="Arial" w:cs="Arial"/>
                <w:sz w:val="18"/>
                <w:szCs w:val="18"/>
              </w:rPr>
              <w:br/>
              <w:t>организациями</w:t>
            </w:r>
          </w:p>
        </w:tc>
        <w:tc>
          <w:tcPr>
            <w:tcW w:w="998" w:type="pct"/>
            <w:shd w:val="clear" w:color="auto" w:fill="C6D9F1" w:themeFill="text2" w:themeFillTint="33"/>
          </w:tcPr>
          <w:p w:rsidR="009F6C7A" w:rsidRPr="00095A32" w:rsidRDefault="009F6C7A" w:rsidP="009F6C7A">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95A32">
              <w:rPr>
                <w:rFonts w:ascii="Arial" w:hAnsi="Arial" w:cs="Arial"/>
                <w:sz w:val="18"/>
                <w:szCs w:val="18"/>
              </w:rPr>
              <w:t>колхозами</w:t>
            </w:r>
          </w:p>
        </w:tc>
        <w:tc>
          <w:tcPr>
            <w:cnfStyle w:val="000010000000" w:firstRow="0" w:lastRow="0" w:firstColumn="0" w:lastColumn="0" w:oddVBand="1" w:evenVBand="0" w:oddHBand="0" w:evenHBand="0" w:firstRowFirstColumn="0" w:firstRowLastColumn="0" w:lastRowFirstColumn="0" w:lastRowLastColumn="0"/>
            <w:tcW w:w="996" w:type="pct"/>
            <w:shd w:val="clear" w:color="auto" w:fill="C6D9F1" w:themeFill="text2" w:themeFillTint="33"/>
          </w:tcPr>
          <w:p w:rsidR="009F6C7A" w:rsidRPr="00095A32" w:rsidRDefault="009F6C7A" w:rsidP="009F6C7A">
            <w:pPr>
              <w:spacing w:before="40" w:after="40"/>
              <w:jc w:val="center"/>
              <w:rPr>
                <w:rFonts w:ascii="Arial" w:hAnsi="Arial" w:cs="Arial"/>
                <w:sz w:val="18"/>
                <w:szCs w:val="18"/>
              </w:rPr>
            </w:pPr>
            <w:r w:rsidRPr="00095A32">
              <w:rPr>
                <w:rFonts w:ascii="Arial" w:hAnsi="Arial" w:cs="Arial"/>
                <w:sz w:val="18"/>
                <w:szCs w:val="18"/>
              </w:rPr>
              <w:t>населением</w:t>
            </w:r>
          </w:p>
        </w:tc>
      </w:tr>
      <w:tr w:rsidR="009F6C7A" w:rsidRPr="00095A32"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sidRPr="00095A32">
              <w:rPr>
                <w:rFonts w:ascii="Arial" w:hAnsi="Arial" w:cs="Arial"/>
                <w:sz w:val="18"/>
                <w:szCs w:val="18"/>
              </w:rPr>
              <w:t>1960</w:t>
            </w:r>
          </w:p>
        </w:tc>
        <w:tc>
          <w:tcPr>
            <w:tcW w:w="1004"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437,6</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195,4</w:t>
            </w:r>
          </w:p>
        </w:tc>
        <w:tc>
          <w:tcPr>
            <w:tcW w:w="998"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w:t>
            </w:r>
          </w:p>
        </w:tc>
      </w:tr>
      <w:tr w:rsidR="009F6C7A" w:rsidRPr="00095A32" w:rsidTr="009F6C7A">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Pr>
                <w:rFonts w:ascii="Arial" w:hAnsi="Arial" w:cs="Arial"/>
                <w:sz w:val="18"/>
                <w:szCs w:val="18"/>
              </w:rPr>
              <w:t>1965</w:t>
            </w:r>
          </w:p>
        </w:tc>
        <w:tc>
          <w:tcPr>
            <w:tcW w:w="1004"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479,0</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308,1</w:t>
            </w:r>
          </w:p>
        </w:tc>
        <w:tc>
          <w:tcPr>
            <w:tcW w:w="998"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11,7</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159,2</w:t>
            </w:r>
          </w:p>
        </w:tc>
      </w:tr>
      <w:tr w:rsidR="009F6C7A" w:rsidRPr="00095A32"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sidRPr="00095A32">
              <w:rPr>
                <w:rFonts w:ascii="Arial" w:hAnsi="Arial" w:cs="Arial"/>
                <w:sz w:val="18"/>
                <w:szCs w:val="18"/>
              </w:rPr>
              <w:t>1970</w:t>
            </w:r>
          </w:p>
        </w:tc>
        <w:tc>
          <w:tcPr>
            <w:tcW w:w="1004"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588,9</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445,3</w:t>
            </w:r>
          </w:p>
        </w:tc>
        <w:tc>
          <w:tcPr>
            <w:tcW w:w="998"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24,8</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118,8</w:t>
            </w:r>
          </w:p>
        </w:tc>
      </w:tr>
      <w:tr w:rsidR="009F6C7A" w:rsidRPr="00095A32" w:rsidTr="009F6C7A">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Pr>
                <w:rFonts w:ascii="Arial" w:hAnsi="Arial" w:cs="Arial"/>
                <w:sz w:val="18"/>
                <w:szCs w:val="18"/>
              </w:rPr>
              <w:t>1975</w:t>
            </w:r>
          </w:p>
        </w:tc>
        <w:tc>
          <w:tcPr>
            <w:tcW w:w="1004"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495,8</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379,7</w:t>
            </w:r>
          </w:p>
        </w:tc>
        <w:tc>
          <w:tcPr>
            <w:tcW w:w="998"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39,2</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76,9</w:t>
            </w:r>
          </w:p>
        </w:tc>
      </w:tr>
      <w:tr w:rsidR="009F6C7A" w:rsidRPr="00095A32"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sidRPr="00095A32">
              <w:rPr>
                <w:rFonts w:ascii="Arial" w:hAnsi="Arial" w:cs="Arial"/>
                <w:sz w:val="18"/>
                <w:szCs w:val="18"/>
              </w:rPr>
              <w:t>1980</w:t>
            </w:r>
          </w:p>
        </w:tc>
        <w:tc>
          <w:tcPr>
            <w:tcW w:w="1004"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565,7</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473,5</w:t>
            </w:r>
          </w:p>
        </w:tc>
        <w:tc>
          <w:tcPr>
            <w:tcW w:w="998"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62,1</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30,1</w:t>
            </w:r>
          </w:p>
        </w:tc>
      </w:tr>
      <w:tr w:rsidR="009F6C7A" w:rsidRPr="00095A32" w:rsidTr="009F6C7A">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Pr>
                <w:rFonts w:ascii="Arial" w:hAnsi="Arial" w:cs="Arial"/>
                <w:sz w:val="18"/>
                <w:szCs w:val="18"/>
              </w:rPr>
              <w:t>1985</w:t>
            </w:r>
          </w:p>
        </w:tc>
        <w:tc>
          <w:tcPr>
            <w:tcW w:w="1004"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779,9</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646,7</w:t>
            </w:r>
          </w:p>
        </w:tc>
        <w:tc>
          <w:tcPr>
            <w:tcW w:w="998"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92,2</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41,0</w:t>
            </w:r>
          </w:p>
        </w:tc>
      </w:tr>
      <w:tr w:rsidR="009F6C7A" w:rsidRPr="00095A32"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sidRPr="00095A32">
              <w:rPr>
                <w:rFonts w:ascii="Arial" w:hAnsi="Arial" w:cs="Arial"/>
                <w:sz w:val="18"/>
                <w:szCs w:val="18"/>
              </w:rPr>
              <w:t>1990</w:t>
            </w:r>
          </w:p>
        </w:tc>
        <w:tc>
          <w:tcPr>
            <w:tcW w:w="1004"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723,9</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639,4</w:t>
            </w:r>
          </w:p>
        </w:tc>
        <w:tc>
          <w:tcPr>
            <w:tcW w:w="998"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62,8</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21,7</w:t>
            </w:r>
          </w:p>
        </w:tc>
      </w:tr>
      <w:tr w:rsidR="009F6C7A" w:rsidRPr="00095A32" w:rsidTr="009F6C7A">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sidRPr="00095A32">
              <w:rPr>
                <w:rFonts w:ascii="Arial" w:hAnsi="Arial" w:cs="Arial"/>
                <w:sz w:val="18"/>
                <w:szCs w:val="18"/>
              </w:rPr>
              <w:t>2000</w:t>
            </w:r>
          </w:p>
        </w:tc>
        <w:tc>
          <w:tcPr>
            <w:tcW w:w="1004"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95A32">
              <w:rPr>
                <w:rFonts w:ascii="Arial" w:hAnsi="Arial" w:cs="Arial"/>
                <w:sz w:val="18"/>
                <w:szCs w:val="18"/>
              </w:rPr>
              <w:t>214,2</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126,4</w:t>
            </w:r>
          </w:p>
        </w:tc>
        <w:tc>
          <w:tcPr>
            <w:tcW w:w="998"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87,8</w:t>
            </w:r>
          </w:p>
        </w:tc>
      </w:tr>
      <w:tr w:rsidR="009F6C7A" w:rsidRPr="00095A32"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sidRPr="00095A32">
              <w:rPr>
                <w:rFonts w:ascii="Arial" w:hAnsi="Arial" w:cs="Arial"/>
                <w:sz w:val="18"/>
                <w:szCs w:val="18"/>
              </w:rPr>
              <w:t>2005</w:t>
            </w:r>
          </w:p>
        </w:tc>
        <w:tc>
          <w:tcPr>
            <w:tcW w:w="1004"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5A32">
              <w:rPr>
                <w:rFonts w:ascii="Arial" w:hAnsi="Arial" w:cs="Arial"/>
                <w:sz w:val="18"/>
                <w:szCs w:val="18"/>
              </w:rPr>
              <w:t>292,7</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174,9</w:t>
            </w:r>
          </w:p>
        </w:tc>
        <w:tc>
          <w:tcPr>
            <w:tcW w:w="998"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softHyphen/>
            </w:r>
            <w:r>
              <w:rPr>
                <w:rFonts w:ascii="Arial" w:hAnsi="Arial" w:cs="Arial"/>
                <w:sz w:val="18"/>
                <w:szCs w:val="18"/>
              </w:rPr>
              <w:softHyphen/>
            </w:r>
            <w:r>
              <w:rPr>
                <w:rFonts w:ascii="Arial" w:hAnsi="Arial" w:cs="Arial"/>
                <w:sz w:val="18"/>
                <w:szCs w:val="18"/>
              </w:rPr>
              <w:softHyphen/>
              <w:t>–</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sidRPr="00095A32">
              <w:rPr>
                <w:rFonts w:ascii="Arial" w:hAnsi="Arial" w:cs="Arial"/>
                <w:sz w:val="18"/>
                <w:szCs w:val="18"/>
              </w:rPr>
              <w:t>117,8</w:t>
            </w:r>
          </w:p>
        </w:tc>
      </w:tr>
      <w:tr w:rsidR="009F6C7A" w:rsidRPr="00095A32" w:rsidTr="009F6C7A">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Pr>
                <w:rFonts w:ascii="Arial" w:hAnsi="Arial" w:cs="Arial"/>
                <w:sz w:val="18"/>
                <w:szCs w:val="18"/>
              </w:rPr>
              <w:t>2010</w:t>
            </w:r>
          </w:p>
        </w:tc>
        <w:tc>
          <w:tcPr>
            <w:tcW w:w="1004"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466,8</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177,8</w:t>
            </w:r>
          </w:p>
        </w:tc>
        <w:tc>
          <w:tcPr>
            <w:tcW w:w="998" w:type="pct"/>
            <w:vAlign w:val="bottom"/>
          </w:tcPr>
          <w:p w:rsidR="009F6C7A" w:rsidRPr="00095A32" w:rsidRDefault="009F6C7A" w:rsidP="009F6C7A">
            <w:pPr>
              <w:tabs>
                <w:tab w:val="left" w:pos="1907"/>
              </w:tabs>
              <w:spacing w:before="40" w:after="40"/>
              <w:ind w:right="78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289,0</w:t>
            </w:r>
          </w:p>
        </w:tc>
      </w:tr>
      <w:tr w:rsidR="009F6C7A" w:rsidRPr="00095A32" w:rsidTr="009F6C7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4" w:type="pct"/>
          </w:tcPr>
          <w:p w:rsidR="009F6C7A" w:rsidRPr="00095A32" w:rsidRDefault="009F6C7A" w:rsidP="009F6C7A">
            <w:pPr>
              <w:spacing w:before="40" w:after="40"/>
              <w:ind w:firstLine="142"/>
              <w:rPr>
                <w:rFonts w:ascii="Arial" w:hAnsi="Arial" w:cs="Arial"/>
                <w:sz w:val="18"/>
                <w:szCs w:val="18"/>
              </w:rPr>
            </w:pPr>
            <w:r>
              <w:rPr>
                <w:rFonts w:ascii="Arial" w:hAnsi="Arial" w:cs="Arial"/>
                <w:sz w:val="18"/>
                <w:szCs w:val="18"/>
              </w:rPr>
              <w:t>2011</w:t>
            </w:r>
          </w:p>
        </w:tc>
        <w:tc>
          <w:tcPr>
            <w:tcW w:w="1004" w:type="pct"/>
            <w:vAlign w:val="bottom"/>
          </w:tcPr>
          <w:p w:rsidR="009F6C7A" w:rsidRPr="00095A32"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553,8</w:t>
            </w:r>
          </w:p>
        </w:tc>
        <w:tc>
          <w:tcPr>
            <w:cnfStyle w:val="000010000000" w:firstRow="0" w:lastRow="0" w:firstColumn="0" w:lastColumn="0" w:oddVBand="1" w:evenVBand="0" w:oddHBand="0" w:evenHBand="0" w:firstRowFirstColumn="0" w:firstRowLastColumn="0" w:lastRowFirstColumn="0" w:lastRowLastColumn="0"/>
            <w:tcW w:w="998"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214,7</w:t>
            </w:r>
          </w:p>
        </w:tc>
        <w:tc>
          <w:tcPr>
            <w:tcW w:w="998" w:type="pct"/>
            <w:vAlign w:val="bottom"/>
          </w:tcPr>
          <w:p w:rsidR="009F6C7A" w:rsidRPr="00244A6C" w:rsidRDefault="009F6C7A" w:rsidP="009F6C7A">
            <w:pPr>
              <w:tabs>
                <w:tab w:val="left" w:pos="1907"/>
              </w:tabs>
              <w:spacing w:before="40" w:after="40"/>
              <w:ind w:right="78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996" w:type="pct"/>
            <w:vAlign w:val="bottom"/>
          </w:tcPr>
          <w:p w:rsidR="009F6C7A" w:rsidRPr="00095A32" w:rsidRDefault="009F6C7A" w:rsidP="009F6C7A">
            <w:pPr>
              <w:tabs>
                <w:tab w:val="left" w:pos="1907"/>
              </w:tabs>
              <w:spacing w:before="40" w:after="40"/>
              <w:ind w:right="789"/>
              <w:jc w:val="right"/>
              <w:rPr>
                <w:rFonts w:ascii="Arial" w:hAnsi="Arial" w:cs="Arial"/>
                <w:sz w:val="18"/>
                <w:szCs w:val="18"/>
              </w:rPr>
            </w:pPr>
            <w:r>
              <w:rPr>
                <w:rFonts w:ascii="Arial" w:hAnsi="Arial" w:cs="Arial"/>
                <w:sz w:val="18"/>
                <w:szCs w:val="18"/>
              </w:rPr>
              <w:t>339,1</w:t>
            </w:r>
          </w:p>
        </w:tc>
      </w:tr>
    </w:tbl>
    <w:p w:rsidR="009F6C7A" w:rsidRDefault="009F6C7A" w:rsidP="009F6C7A">
      <w:pPr>
        <w:pStyle w:val="a3"/>
        <w:spacing w:before="120" w:line="240" w:lineRule="auto"/>
        <w:rPr>
          <w:rFonts w:ascii="Arial" w:hAnsi="Arial" w:cs="Arial"/>
        </w:rPr>
      </w:pPr>
    </w:p>
    <w:p w:rsidR="009F6C7A" w:rsidRDefault="009F6C7A" w:rsidP="009F6C7A">
      <w:pPr>
        <w:ind w:firstLine="709"/>
        <w:jc w:val="both"/>
        <w:rPr>
          <w:rFonts w:ascii="Arial" w:hAnsi="Arial" w:cs="Arial"/>
          <w:sz w:val="22"/>
        </w:rPr>
      </w:pPr>
      <w:r>
        <w:rPr>
          <w:rFonts w:ascii="Arial" w:hAnsi="Arial" w:cs="Arial"/>
          <w:sz w:val="22"/>
        </w:rPr>
        <w:t xml:space="preserve">В предыдущие годы в области активно велось строительство объектов социально-культурной сферы. Больше всего школ было построено в 1964 г. – 31 школа на 17,9 тыс. ученических мест. В период с 1961 г. по 1965 г. было сдано 158 школ на 72,5 тыс. ученических мест, что 8,4 раза больше, чем за период с 1996 г. по 2000 г. С 2001 г. по 2010 г. введено 3 школы </w:t>
      </w:r>
      <w:proofErr w:type="gramStart"/>
      <w:r>
        <w:rPr>
          <w:rFonts w:ascii="Arial" w:hAnsi="Arial" w:cs="Arial"/>
          <w:sz w:val="22"/>
        </w:rPr>
        <w:t>на</w:t>
      </w:r>
      <w:proofErr w:type="gramEnd"/>
      <w:r>
        <w:rPr>
          <w:rFonts w:ascii="Arial" w:hAnsi="Arial" w:cs="Arial"/>
          <w:sz w:val="22"/>
        </w:rPr>
        <w:t xml:space="preserve"> 0,3 тыс. ученических мест. </w:t>
      </w:r>
    </w:p>
    <w:p w:rsidR="009F6C7A" w:rsidRDefault="009F6C7A" w:rsidP="009F6C7A">
      <w:pPr>
        <w:rPr>
          <w:rFonts w:ascii="Arial" w:hAnsi="Arial" w:cs="Arial"/>
          <w:sz w:val="22"/>
        </w:rPr>
      </w:pPr>
    </w:p>
    <w:p w:rsidR="009F6C7A" w:rsidRDefault="009F6C7A" w:rsidP="009F6C7A">
      <w:pPr>
        <w:pStyle w:val="8"/>
        <w:rPr>
          <w:sz w:val="22"/>
        </w:rPr>
      </w:pPr>
      <w:r>
        <w:rPr>
          <w:sz w:val="22"/>
        </w:rPr>
        <w:t xml:space="preserve">ВВОД В ДЕЙСТВИЕ ОБЩЕОБРАЗОВАТЕЛЬНЫХ ШКОЛ </w:t>
      </w:r>
      <w:r>
        <w:rPr>
          <w:sz w:val="22"/>
        </w:rPr>
        <w:br/>
        <w:t>И ДОШКОЛЬНЫХ УЧРЕЖДЕНИЙ</w:t>
      </w:r>
    </w:p>
    <w:p w:rsidR="009F6C7A" w:rsidRDefault="009F6C7A" w:rsidP="009F6C7A">
      <w:pPr>
        <w:rPr>
          <w:rFonts w:ascii="Arial" w:hAnsi="Arial" w:cs="Arial"/>
          <w:sz w:val="22"/>
        </w:rPr>
      </w:pPr>
    </w:p>
    <w:p w:rsidR="009F6C7A" w:rsidRDefault="009F6C7A" w:rsidP="009F6C7A">
      <w:pPr>
        <w:pStyle w:val="8"/>
        <w:rPr>
          <w:sz w:val="22"/>
        </w:rPr>
      </w:pPr>
      <w:r w:rsidRPr="00B37742">
        <w:rPr>
          <w:noProof/>
          <w:sz w:val="22"/>
          <w:bdr w:val="double" w:sz="4" w:space="0" w:color="auto"/>
        </w:rPr>
        <w:drawing>
          <wp:inline distT="0" distB="0" distL="0" distR="0">
            <wp:extent cx="8604427" cy="2764465"/>
            <wp:effectExtent l="0" t="0" r="0" b="0"/>
            <wp:docPr id="38"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F6C7A" w:rsidRDefault="009F6C7A" w:rsidP="009F6C7A">
      <w:pPr>
        <w:ind w:firstLine="709"/>
        <w:jc w:val="both"/>
        <w:rPr>
          <w:rFonts w:ascii="Arial" w:hAnsi="Arial" w:cs="Arial"/>
          <w:sz w:val="22"/>
          <w:lang w:val="en-US"/>
        </w:rPr>
      </w:pPr>
    </w:p>
    <w:p w:rsidR="009F6C7A" w:rsidRDefault="009F6C7A" w:rsidP="009F6C7A">
      <w:pPr>
        <w:ind w:firstLine="709"/>
        <w:jc w:val="both"/>
        <w:rPr>
          <w:rFonts w:ascii="Arial" w:hAnsi="Arial" w:cs="Arial"/>
          <w:sz w:val="22"/>
        </w:rPr>
      </w:pPr>
      <w:r>
        <w:rPr>
          <w:rFonts w:ascii="Arial" w:hAnsi="Arial" w:cs="Arial"/>
          <w:sz w:val="22"/>
        </w:rPr>
        <w:t xml:space="preserve">Наибольший ввод детских дошкольных учреждений наблюдался в период </w:t>
      </w:r>
      <w:r>
        <w:rPr>
          <w:rFonts w:ascii="Arial" w:hAnsi="Arial" w:cs="Arial"/>
          <w:sz w:val="22"/>
          <w:lang w:val="en-US"/>
        </w:rPr>
        <w:t>c</w:t>
      </w:r>
      <w:r>
        <w:rPr>
          <w:rFonts w:ascii="Arial" w:hAnsi="Arial" w:cs="Arial"/>
          <w:sz w:val="22"/>
        </w:rPr>
        <w:t xml:space="preserve"> 1986 г. по 1990 г. (24,3 тыс. мест), а клубов – с 1966 г. по 1970 г. (29,5 тыс. мест).</w:t>
      </w:r>
    </w:p>
    <w:p w:rsidR="009F6C7A" w:rsidRDefault="009F6C7A" w:rsidP="009F6C7A">
      <w:pPr>
        <w:ind w:firstLine="709"/>
        <w:jc w:val="both"/>
        <w:rPr>
          <w:rFonts w:ascii="Arial" w:hAnsi="Arial" w:cs="Arial"/>
          <w:sz w:val="22"/>
        </w:rPr>
      </w:pPr>
      <w:r>
        <w:rPr>
          <w:rFonts w:ascii="Arial" w:hAnsi="Arial" w:cs="Arial"/>
          <w:sz w:val="22"/>
        </w:rPr>
        <w:t>Больницы наиболее активно строились  с 1971 г. по 1975 г., за это время было сдано больниц на 2487 коек. Ввод в 1996 – 2000 гг. соответствует вводу в 1961 – 1965 гг. (665 и 663 койки). В 2002 г. за счет реконструкции построена больница на 100 коек, в 2006 г. –  на 26 коек.</w:t>
      </w:r>
    </w:p>
    <w:p w:rsidR="009F6C7A" w:rsidRDefault="009F6C7A" w:rsidP="009F6C7A">
      <w:pPr>
        <w:ind w:firstLine="709"/>
        <w:jc w:val="both"/>
        <w:rPr>
          <w:rFonts w:ascii="Arial" w:hAnsi="Arial" w:cs="Arial"/>
          <w:sz w:val="22"/>
        </w:rPr>
      </w:pPr>
      <w:r>
        <w:rPr>
          <w:rFonts w:ascii="Arial" w:hAnsi="Arial" w:cs="Arial"/>
          <w:sz w:val="22"/>
        </w:rPr>
        <w:t xml:space="preserve">За период с 2001 г. по 2010 г. введены амбулаторно-поликлинические учреждения на 772 посещения в смену, в том числе в 2006 г. – на 375 и в 2007 г. – </w:t>
      </w:r>
      <w:proofErr w:type="gramStart"/>
      <w:r>
        <w:rPr>
          <w:rFonts w:ascii="Arial" w:hAnsi="Arial" w:cs="Arial"/>
          <w:sz w:val="22"/>
        </w:rPr>
        <w:t>на</w:t>
      </w:r>
      <w:proofErr w:type="gramEnd"/>
      <w:r>
        <w:rPr>
          <w:rFonts w:ascii="Arial" w:hAnsi="Arial" w:cs="Arial"/>
          <w:sz w:val="22"/>
        </w:rPr>
        <w:t xml:space="preserve"> 212 посещений в смену.</w:t>
      </w:r>
    </w:p>
    <w:p w:rsidR="009F6C7A" w:rsidRDefault="009F6C7A" w:rsidP="009F6C7A">
      <w:pPr>
        <w:pStyle w:val="22"/>
        <w:spacing w:line="240" w:lineRule="auto"/>
        <w:rPr>
          <w:rFonts w:cs="Arial"/>
          <w:sz w:val="22"/>
        </w:rPr>
      </w:pPr>
      <w:r>
        <w:rPr>
          <w:rFonts w:cs="Arial"/>
          <w:sz w:val="22"/>
        </w:rPr>
        <w:t xml:space="preserve">В 1991 – 2010 гг. сданы в эксплуатацию жилые дома общей площадью 6930,6 тыс. кв. метров, из которых населением –2415,2 тыс. кв. метров. Построено 110 общеобразовательных школ на 33,3 тыс. ученических мест, детских дошкольных учреждений на 5,4 тыс. мест, больниц на 1,9 тыс. коек и амбулаторно-поликлинических учреждений – на 5,7 тыс. посещений в смену. Введены в действие 24 клуба на 5,9 тыс. мест, кинотеатр на 1000 мест, завершилась реконструкция здания театра кукол. </w:t>
      </w:r>
    </w:p>
    <w:p w:rsidR="009F6C7A" w:rsidRPr="007911AA" w:rsidRDefault="009F6C7A" w:rsidP="009F6C7A">
      <w:pPr>
        <w:pStyle w:val="a3"/>
        <w:spacing w:line="240" w:lineRule="auto"/>
        <w:ind w:firstLine="709"/>
        <w:jc w:val="both"/>
        <w:rPr>
          <w:rFonts w:ascii="Arial" w:hAnsi="Arial" w:cs="Arial"/>
          <w:b w:val="0"/>
        </w:rPr>
      </w:pPr>
      <w:r>
        <w:rPr>
          <w:rFonts w:ascii="Arial" w:hAnsi="Arial" w:cs="Arial"/>
          <w:b w:val="0"/>
        </w:rPr>
        <w:t xml:space="preserve">В 2011 г. введены: общеобразовательная школа на 144 ученических  места,  детское дошкольное учреждение – на 243 места, два физкультурно-оздоровительных комплекса с бассейнами, книгохранилище – на 107 тыс. томов книжного фонда. </w:t>
      </w:r>
    </w:p>
    <w:p w:rsidR="009F6C7A" w:rsidRDefault="009F6C7A" w:rsidP="009F6C7A">
      <w:pPr>
        <w:pStyle w:val="a3"/>
        <w:spacing w:line="240" w:lineRule="auto"/>
        <w:ind w:firstLine="709"/>
        <w:jc w:val="both"/>
        <w:rPr>
          <w:rFonts w:ascii="Arial" w:hAnsi="Arial" w:cs="Arial"/>
          <w:b w:val="0"/>
        </w:rPr>
      </w:pPr>
      <w:r>
        <w:rPr>
          <w:rFonts w:ascii="Arial" w:hAnsi="Arial" w:cs="Arial"/>
          <w:b w:val="0"/>
        </w:rPr>
        <w:t xml:space="preserve">В соответствии с федеральными целевыми программами из наиболее крупных объектов, значимых не только для области, но и для России, в 2009 году на территории области сдан в эксплуатацию первый пусковой комплекс </w:t>
      </w:r>
      <w:r>
        <w:rPr>
          <w:rFonts w:ascii="Arial" w:hAnsi="Arial" w:cs="Arial"/>
          <w:b w:val="0"/>
          <w:lang w:val="en-US"/>
        </w:rPr>
        <w:t>I</w:t>
      </w:r>
      <w:r>
        <w:rPr>
          <w:rFonts w:ascii="Arial" w:hAnsi="Arial" w:cs="Arial"/>
          <w:b w:val="0"/>
        </w:rPr>
        <w:t xml:space="preserve"> очереди строительства мостового п</w:t>
      </w:r>
      <w:r>
        <w:rPr>
          <w:rFonts w:ascii="Arial" w:hAnsi="Arial" w:cs="Arial"/>
          <w:b w:val="0"/>
        </w:rPr>
        <w:t>е</w:t>
      </w:r>
      <w:r>
        <w:rPr>
          <w:rFonts w:ascii="Arial" w:hAnsi="Arial" w:cs="Arial"/>
          <w:b w:val="0"/>
        </w:rPr>
        <w:t xml:space="preserve">рехода  через реку Волга протяженностью 12,9 км. </w:t>
      </w:r>
    </w:p>
    <w:p w:rsidR="009F6C7A" w:rsidRDefault="009F6C7A" w:rsidP="009F6C7A">
      <w:pPr>
        <w:shd w:val="clear" w:color="auto" w:fill="FFFFFF"/>
        <w:ind w:firstLine="709"/>
        <w:jc w:val="both"/>
        <w:rPr>
          <w:rFonts w:ascii="Arial" w:hAnsi="Arial" w:cs="Arial"/>
          <w:sz w:val="22"/>
        </w:rPr>
      </w:pPr>
      <w:r>
        <w:rPr>
          <w:rFonts w:ascii="Arial" w:hAnsi="Arial" w:cs="Arial"/>
          <w:sz w:val="22"/>
        </w:rPr>
        <w:lastRenderedPageBreak/>
        <w:t>За последние 10 лет введены в действие мощности по  производству: запасных частей к  автомобилям; строительного кирпича, пиломатериалов, стеновых материалов и сухих смесей; цельномолочной продукции, пива, хлебобулочных и кондитерских изделий. Еж</w:t>
      </w:r>
      <w:r>
        <w:rPr>
          <w:rFonts w:ascii="Arial" w:hAnsi="Arial" w:cs="Arial"/>
          <w:sz w:val="22"/>
        </w:rPr>
        <w:t>е</w:t>
      </w:r>
      <w:r>
        <w:rPr>
          <w:rFonts w:ascii="Arial" w:hAnsi="Arial" w:cs="Arial"/>
          <w:sz w:val="22"/>
        </w:rPr>
        <w:t>годно осуществлялась сдача в эксплуатацию автомобильных дорог с твердым покрытием, газовых сетей, помещений для животных и птицы, предприятий торговли и общественного питания, мощностей в связи.</w:t>
      </w:r>
    </w:p>
    <w:p w:rsidR="009F6C7A" w:rsidRDefault="009F6C7A" w:rsidP="009F6C7A">
      <w:pPr>
        <w:shd w:val="clear" w:color="auto" w:fill="FFFFFF"/>
        <w:ind w:firstLine="709"/>
        <w:jc w:val="both"/>
        <w:rPr>
          <w:rFonts w:ascii="Arial" w:hAnsi="Arial" w:cs="Arial"/>
          <w:sz w:val="22"/>
        </w:rPr>
      </w:pPr>
      <w:r>
        <w:rPr>
          <w:rFonts w:ascii="Arial" w:hAnsi="Arial" w:cs="Arial"/>
          <w:bCs/>
          <w:iCs/>
          <w:sz w:val="22"/>
        </w:rPr>
        <w:t>По программе "Развитие образования" построены</w:t>
      </w:r>
      <w:r>
        <w:rPr>
          <w:rFonts w:ascii="Arial" w:hAnsi="Arial" w:cs="Arial"/>
          <w:sz w:val="22"/>
        </w:rPr>
        <w:t xml:space="preserve"> и реконструированы учебно</w:t>
      </w:r>
      <w:r w:rsidR="00B02E51">
        <w:rPr>
          <w:rFonts w:ascii="Arial" w:hAnsi="Arial" w:cs="Arial"/>
          <w:sz w:val="22"/>
        </w:rPr>
        <w:t>-</w:t>
      </w:r>
      <w:r>
        <w:rPr>
          <w:rFonts w:ascii="Arial" w:hAnsi="Arial" w:cs="Arial"/>
          <w:sz w:val="22"/>
        </w:rPr>
        <w:t>лабораторные здания в высших учебных заведен</w:t>
      </w:r>
      <w:r>
        <w:rPr>
          <w:rFonts w:ascii="Arial" w:hAnsi="Arial" w:cs="Arial"/>
          <w:sz w:val="22"/>
        </w:rPr>
        <w:t>и</w:t>
      </w:r>
      <w:r>
        <w:rPr>
          <w:rFonts w:ascii="Arial" w:hAnsi="Arial" w:cs="Arial"/>
          <w:sz w:val="22"/>
        </w:rPr>
        <w:t xml:space="preserve">ях площадью 19,3 тыс. кв. метров. </w:t>
      </w:r>
    </w:p>
    <w:p w:rsidR="009F6C7A" w:rsidRDefault="009F6C7A" w:rsidP="009F6C7A">
      <w:pPr>
        <w:pStyle w:val="22"/>
        <w:spacing w:line="240" w:lineRule="auto"/>
        <w:rPr>
          <w:rFonts w:cs="Arial"/>
          <w:sz w:val="22"/>
        </w:rPr>
      </w:pPr>
      <w:proofErr w:type="gramStart"/>
      <w:r>
        <w:rPr>
          <w:rFonts w:cs="Arial"/>
          <w:bCs/>
          <w:sz w:val="22"/>
        </w:rPr>
        <w:t xml:space="preserve">В 2007 г. завершены работы на строительстве </w:t>
      </w:r>
      <w:proofErr w:type="spellStart"/>
      <w:r>
        <w:rPr>
          <w:rFonts w:cs="Arial"/>
          <w:bCs/>
          <w:sz w:val="22"/>
        </w:rPr>
        <w:t>пристроя</w:t>
      </w:r>
      <w:proofErr w:type="spellEnd"/>
      <w:r>
        <w:rPr>
          <w:rFonts w:cs="Arial"/>
          <w:bCs/>
          <w:sz w:val="22"/>
        </w:rPr>
        <w:t xml:space="preserve"> к радиологическому отделению областного онкологического диспансера в г. Ульяновске (программа «Предупреждение и борьба с заболеваниями социального характера»), сдан в эксплуатацию диализный центр с новейшим высокотехнологичным оборудованием,  в  2011 году за счет реконструкции увеличилась мощность ГУЧ "Областной клинич</w:t>
      </w:r>
      <w:r>
        <w:rPr>
          <w:rFonts w:cs="Arial"/>
          <w:bCs/>
          <w:sz w:val="22"/>
        </w:rPr>
        <w:t>е</w:t>
      </w:r>
      <w:r>
        <w:rPr>
          <w:rFonts w:cs="Arial"/>
          <w:bCs/>
          <w:sz w:val="22"/>
        </w:rPr>
        <w:t>ский онкологический диспансер" на 25 посещений в смену.</w:t>
      </w:r>
      <w:proofErr w:type="gramEnd"/>
    </w:p>
    <w:p w:rsidR="009F6C7A" w:rsidRDefault="009F6C7A" w:rsidP="009F6C7A">
      <w:pPr>
        <w:shd w:val="clear" w:color="auto" w:fill="FFFFFF"/>
        <w:ind w:firstLine="709"/>
        <w:jc w:val="both"/>
        <w:rPr>
          <w:rFonts w:ascii="Arial" w:hAnsi="Arial" w:cs="Arial"/>
          <w:sz w:val="22"/>
        </w:rPr>
      </w:pPr>
      <w:r>
        <w:rPr>
          <w:rFonts w:ascii="Arial" w:hAnsi="Arial" w:cs="Arial"/>
          <w:sz w:val="22"/>
        </w:rPr>
        <w:t>В целях развития спортивной инфраструктуры построены физкультурно-оздоровительные комплексы, спортивное сооружение с искусственным льдом, плавательные бассейны, плоскостные спортивные сооружения (футбольные поля, игровые площадки и др.).</w:t>
      </w:r>
    </w:p>
    <w:p w:rsidR="009F6C7A" w:rsidRDefault="009F6C7A" w:rsidP="009F6C7A">
      <w:pPr>
        <w:pStyle w:val="22"/>
        <w:spacing w:line="240" w:lineRule="auto"/>
        <w:rPr>
          <w:rFonts w:cs="Arial"/>
          <w:sz w:val="22"/>
        </w:rPr>
      </w:pPr>
      <w:r>
        <w:rPr>
          <w:rFonts w:cs="Arial"/>
          <w:sz w:val="22"/>
        </w:rPr>
        <w:t>За период с 1991 г. по 201</w:t>
      </w:r>
      <w:r w:rsidR="007A7074">
        <w:rPr>
          <w:rFonts w:cs="Arial"/>
          <w:sz w:val="22"/>
        </w:rPr>
        <w:t>1</w:t>
      </w:r>
      <w:r>
        <w:rPr>
          <w:rFonts w:cs="Arial"/>
          <w:sz w:val="22"/>
        </w:rPr>
        <w:t xml:space="preserve"> г. сдано в эксплуатацию </w:t>
      </w:r>
      <w:r w:rsidR="00535A4A">
        <w:rPr>
          <w:rFonts w:cs="Arial"/>
          <w:sz w:val="22"/>
        </w:rPr>
        <w:t xml:space="preserve">5112,8 </w:t>
      </w:r>
      <w:r>
        <w:rPr>
          <w:rFonts w:cs="Arial"/>
          <w:sz w:val="22"/>
        </w:rPr>
        <w:t xml:space="preserve">км газопроводов, </w:t>
      </w:r>
      <w:r w:rsidR="00535A4A">
        <w:rPr>
          <w:rFonts w:cs="Arial"/>
          <w:sz w:val="22"/>
        </w:rPr>
        <w:t>1677,9</w:t>
      </w:r>
      <w:r>
        <w:rPr>
          <w:rFonts w:cs="Arial"/>
          <w:sz w:val="22"/>
        </w:rPr>
        <w:t xml:space="preserve"> км – водопроводов, автомобильных дорог протяжённостью  1503,</w:t>
      </w:r>
      <w:r w:rsidR="00535A4A">
        <w:rPr>
          <w:rFonts w:cs="Arial"/>
          <w:sz w:val="22"/>
        </w:rPr>
        <w:t>5</w:t>
      </w:r>
      <w:r>
        <w:rPr>
          <w:rFonts w:cs="Arial"/>
          <w:sz w:val="22"/>
        </w:rPr>
        <w:t xml:space="preserve"> км. За счет нового строительства городских АТС и </w:t>
      </w:r>
      <w:proofErr w:type="gramStart"/>
      <w:r>
        <w:rPr>
          <w:rFonts w:cs="Arial"/>
          <w:sz w:val="22"/>
        </w:rPr>
        <w:t>реконструкции</w:t>
      </w:r>
      <w:proofErr w:type="gramEnd"/>
      <w:r>
        <w:rPr>
          <w:rFonts w:cs="Arial"/>
          <w:sz w:val="22"/>
        </w:rPr>
        <w:t xml:space="preserve"> действующих прирост мощностей составил </w:t>
      </w:r>
      <w:r w:rsidR="00535A4A">
        <w:rPr>
          <w:rFonts w:cs="Arial"/>
          <w:sz w:val="22"/>
        </w:rPr>
        <w:t>358,1</w:t>
      </w:r>
      <w:r>
        <w:rPr>
          <w:rFonts w:cs="Arial"/>
          <w:sz w:val="22"/>
        </w:rPr>
        <w:t xml:space="preserve"> тыс. номеров, АТС в сельской местности – </w:t>
      </w:r>
      <w:r w:rsidR="00535A4A">
        <w:rPr>
          <w:rFonts w:cs="Arial"/>
          <w:sz w:val="22"/>
        </w:rPr>
        <w:t>27,5</w:t>
      </w:r>
      <w:r>
        <w:rPr>
          <w:rFonts w:cs="Arial"/>
          <w:sz w:val="22"/>
        </w:rPr>
        <w:t xml:space="preserve"> тыс. номеров.</w:t>
      </w:r>
    </w:p>
    <w:p w:rsidR="009F6C7A" w:rsidRDefault="009F6C7A" w:rsidP="009F6C7A">
      <w:pPr>
        <w:pStyle w:val="8"/>
        <w:rPr>
          <w:sz w:val="22"/>
        </w:rPr>
      </w:pPr>
    </w:p>
    <w:p w:rsidR="009F6C7A" w:rsidRDefault="009F6C7A" w:rsidP="009F6C7A">
      <w:pPr>
        <w:jc w:val="center"/>
        <w:rPr>
          <w:rFonts w:ascii="Arial" w:hAnsi="Arial" w:cs="Arial"/>
          <w:sz w:val="22"/>
        </w:rPr>
      </w:pPr>
      <w:r>
        <w:rPr>
          <w:rFonts w:ascii="Arial" w:hAnsi="Arial" w:cs="Arial"/>
          <w:b/>
          <w:sz w:val="22"/>
        </w:rPr>
        <w:t>СТРОИТЕЛЬСТВО ОБЪЕКТОВ КОММУНАЛЬНОГО ХОЗЯЙСТВА</w:t>
      </w:r>
    </w:p>
    <w:p w:rsidR="009F6C7A" w:rsidRDefault="009F6C7A" w:rsidP="009F6C7A">
      <w:pPr>
        <w:rPr>
          <w:rFonts w:ascii="Arial" w:hAnsi="Arial" w:cs="Arial"/>
          <w:sz w:val="22"/>
        </w:rPr>
      </w:pPr>
      <w:r>
        <w:rPr>
          <w:rFonts w:ascii="Arial" w:hAnsi="Arial" w:cs="Arial"/>
          <w:noProof/>
          <w:sz w:val="22"/>
        </w:rPr>
        <w:drawing>
          <wp:anchor distT="0" distB="0" distL="114300" distR="114300" simplePos="0" relativeHeight="251770880" behindDoc="0" locked="0" layoutInCell="1" allowOverlap="1">
            <wp:simplePos x="0" y="0"/>
            <wp:positionH relativeFrom="column">
              <wp:posOffset>-136525</wp:posOffset>
            </wp:positionH>
            <wp:positionV relativeFrom="paragraph">
              <wp:posOffset>154940</wp:posOffset>
            </wp:positionV>
            <wp:extent cx="1947545" cy="1456055"/>
            <wp:effectExtent l="19050" t="0" r="0" b="0"/>
            <wp:wrapSquare wrapText="bothSides"/>
            <wp:docPr id="40" name="Рисунок 78" descr="ЖКХ_труб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КХ_трубы.jpeg"/>
                    <pic:cNvPicPr/>
                  </pic:nvPicPr>
                  <pic:blipFill>
                    <a:blip r:embed="rId51"/>
                    <a:stretch>
                      <a:fillRect/>
                    </a:stretch>
                  </pic:blipFill>
                  <pic:spPr>
                    <a:xfrm>
                      <a:off x="0" y="0"/>
                      <a:ext cx="1947545" cy="1456055"/>
                    </a:xfrm>
                    <a:prstGeom prst="rect">
                      <a:avLst/>
                    </a:prstGeom>
                    <a:ln>
                      <a:noFill/>
                    </a:ln>
                    <a:effectLst>
                      <a:softEdge rad="112500"/>
                    </a:effectLst>
                  </pic:spPr>
                </pic:pic>
              </a:graphicData>
            </a:graphic>
          </wp:anchor>
        </w:drawing>
      </w:r>
    </w:p>
    <w:p w:rsidR="009F6C7A" w:rsidRDefault="009F6C7A" w:rsidP="009F6C7A">
      <w:pPr>
        <w:jc w:val="both"/>
        <w:rPr>
          <w:rFonts w:ascii="Arial" w:hAnsi="Arial" w:cs="Arial"/>
          <w:sz w:val="22"/>
        </w:rPr>
      </w:pPr>
      <w:r>
        <w:rPr>
          <w:rFonts w:ascii="Arial" w:hAnsi="Arial" w:cs="Arial"/>
          <w:sz w:val="22"/>
        </w:rPr>
        <w:t>К началу 1944 г. в г. Ульяновске из 8750 зданий канализацией были оборудованы всего 215 (2,5%). Плохо обстояло дело с водой. При потребности 12 тыс. куб. метров в сутки насосная станция подавала немногим более 8 тыс. куб. метров. В 1946 г. городской водопровод стал давать 13 тыс. куб. метров воды в сутки. В 1947 г. г. Ульяновск получил от ТЭЦ автомобильного завода первый ток.</w:t>
      </w:r>
    </w:p>
    <w:p w:rsidR="009F6C7A" w:rsidRDefault="009F6C7A" w:rsidP="009F6C7A">
      <w:pPr>
        <w:jc w:val="both"/>
        <w:rPr>
          <w:rFonts w:ascii="Arial" w:hAnsi="Arial" w:cs="Arial"/>
          <w:sz w:val="22"/>
        </w:rPr>
      </w:pPr>
      <w:r>
        <w:rPr>
          <w:rFonts w:ascii="Arial" w:hAnsi="Arial" w:cs="Arial"/>
          <w:sz w:val="22"/>
        </w:rPr>
        <w:t>За период с 1951 г. по 1955 г. были  сданы в эксплуатацию коммунальные водопроводы протяженностью 27,2 км, в 1961 – 1965 гг. – 164,4 км, наибольший ввод наблюдался в 1991 – 1995 гг.  – 670,5 км. В послед</w:t>
      </w:r>
      <w:r>
        <w:rPr>
          <w:rFonts w:ascii="Arial" w:hAnsi="Arial" w:cs="Arial"/>
          <w:sz w:val="22"/>
        </w:rPr>
        <w:t>у</w:t>
      </w:r>
      <w:r>
        <w:rPr>
          <w:rFonts w:ascii="Arial" w:hAnsi="Arial" w:cs="Arial"/>
          <w:sz w:val="22"/>
        </w:rPr>
        <w:t>ющие годы строительство водопроводов стало сокращаться и в 2005 г. ввод составил 6,5 км. За 2001-2010 гг. сдано 243,4 км, в 2011 г. – 37,4 км.</w:t>
      </w:r>
    </w:p>
    <w:p w:rsidR="009F6C7A" w:rsidRDefault="009F6C7A" w:rsidP="009F6C7A">
      <w:pPr>
        <w:pStyle w:val="33"/>
        <w:ind w:firstLine="0"/>
        <w:rPr>
          <w:rFonts w:ascii="Arial" w:hAnsi="Arial" w:cs="Arial"/>
          <w:bCs/>
          <w:sz w:val="22"/>
        </w:rPr>
      </w:pPr>
      <w:r>
        <w:rPr>
          <w:rFonts w:ascii="Arial" w:hAnsi="Arial" w:cs="Arial"/>
          <w:bCs/>
          <w:sz w:val="22"/>
        </w:rPr>
        <w:t>Наиболее экономичным видом топлива для домашнего хозяйства является газ. Использование сжиженного газа вошло в быт населения области с 1957 г. В 1960 г. построена газораздаточная станция емкостью 900 куб. метров единовременного хранения сжиженного газа. Голубым топливом стали пользоваться во всех городах, во многих поселках и селах области. Наиболее высокими темпами проводилась газификация в период с 1996 г. по 2000 г., когда было сдано в эксплуатацию 1990,1 км газовых сетей (в среднем за год – 398,0 км). Максимальный ввод был в 1998 г. – 571,8 км. За 2001–2010 гг. сдано 1771,7 км г</w:t>
      </w:r>
      <w:r>
        <w:rPr>
          <w:rFonts w:ascii="Arial" w:hAnsi="Arial" w:cs="Arial"/>
          <w:bCs/>
          <w:sz w:val="22"/>
        </w:rPr>
        <w:t>а</w:t>
      </w:r>
      <w:r>
        <w:rPr>
          <w:rFonts w:ascii="Arial" w:hAnsi="Arial" w:cs="Arial"/>
          <w:bCs/>
          <w:sz w:val="22"/>
        </w:rPr>
        <w:t>зовых сетей, в 2011 г.  – 362,3 км.</w:t>
      </w:r>
    </w:p>
    <w:p w:rsidR="009F6C7A" w:rsidRDefault="009F6C7A" w:rsidP="009F6C7A">
      <w:pPr>
        <w:spacing w:after="200" w:line="276" w:lineRule="auto"/>
        <w:rPr>
          <w:rFonts w:ascii="Arial" w:hAnsi="Arial" w:cs="Arial"/>
          <w:b/>
          <w:bCs/>
          <w:sz w:val="22"/>
        </w:rPr>
      </w:pPr>
      <w:r>
        <w:rPr>
          <w:sz w:val="22"/>
        </w:rPr>
        <w:br w:type="page"/>
      </w:r>
    </w:p>
    <w:p w:rsidR="009F6C7A" w:rsidRDefault="009F6C7A" w:rsidP="009F6C7A">
      <w:pPr>
        <w:pStyle w:val="8"/>
        <w:rPr>
          <w:sz w:val="22"/>
        </w:rPr>
      </w:pPr>
      <w:r>
        <w:rPr>
          <w:sz w:val="22"/>
        </w:rPr>
        <w:lastRenderedPageBreak/>
        <w:t>ВВОД В ДЕЙСТВИЕ КОММУНАЛЬНЫХ ВОДОПРОВОДОВ</w:t>
      </w:r>
      <w:r>
        <w:rPr>
          <w:sz w:val="22"/>
        </w:rPr>
        <w:br/>
        <w:t xml:space="preserve"> И ГАЗОВЫХ СЕТЕЙ</w:t>
      </w:r>
    </w:p>
    <w:p w:rsidR="009F6C7A" w:rsidRDefault="009F6C7A" w:rsidP="009F6C7A"/>
    <w:p w:rsidR="009F6C7A" w:rsidRDefault="009F6C7A" w:rsidP="009F6C7A">
      <w:pPr>
        <w:pStyle w:val="33"/>
        <w:rPr>
          <w:rFonts w:ascii="Arial" w:hAnsi="Arial" w:cs="Arial"/>
        </w:rPr>
      </w:pPr>
      <w:r>
        <w:rPr>
          <w:rFonts w:ascii="Arial" w:hAnsi="Arial" w:cs="Arial"/>
          <w:noProof/>
        </w:rPr>
        <w:drawing>
          <wp:anchor distT="0" distB="0" distL="114300" distR="114300" simplePos="0" relativeHeight="251768832" behindDoc="0" locked="0" layoutInCell="1" allowOverlap="1">
            <wp:simplePos x="0" y="0"/>
            <wp:positionH relativeFrom="column">
              <wp:posOffset>-262890</wp:posOffset>
            </wp:positionH>
            <wp:positionV relativeFrom="paragraph">
              <wp:posOffset>3175</wp:posOffset>
            </wp:positionV>
            <wp:extent cx="8935720" cy="4138930"/>
            <wp:effectExtent l="38100" t="19050" r="36830" b="0"/>
            <wp:wrapNone/>
            <wp:docPr id="43" name="Объект 9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rsidR="009F6C7A" w:rsidRDefault="009F6C7A" w:rsidP="009F6C7A">
      <w:pPr>
        <w:pStyle w:val="22"/>
        <w:spacing w:before="120" w:line="240" w:lineRule="auto"/>
        <w:rPr>
          <w:rFonts w:cs="Arial"/>
          <w:sz w:val="22"/>
        </w:rPr>
      </w:pPr>
    </w:p>
    <w:p w:rsidR="009F6C7A" w:rsidRDefault="009F6C7A" w:rsidP="009F6C7A">
      <w:pPr>
        <w:rPr>
          <w:rFonts w:ascii="Arial" w:hAnsi="Arial" w:cs="Arial"/>
        </w:rPr>
      </w:pPr>
    </w:p>
    <w:p w:rsidR="009F6C7A" w:rsidRDefault="009F6C7A" w:rsidP="009F6C7A">
      <w:pPr>
        <w:rPr>
          <w:rFonts w:ascii="Arial" w:hAnsi="Arial" w:cs="Arial"/>
        </w:rPr>
      </w:pPr>
    </w:p>
    <w:p w:rsidR="009F6C7A" w:rsidRDefault="009F6C7A" w:rsidP="009F6C7A">
      <w:pPr>
        <w:rPr>
          <w:rFonts w:ascii="Arial" w:hAnsi="Arial" w:cs="Arial"/>
        </w:rPr>
      </w:pPr>
    </w:p>
    <w:p w:rsidR="009F6C7A" w:rsidRDefault="009F6C7A" w:rsidP="009F6C7A">
      <w:pPr>
        <w:rPr>
          <w:rFonts w:ascii="Arial" w:hAnsi="Arial" w:cs="Arial"/>
        </w:rPr>
      </w:pPr>
    </w:p>
    <w:p w:rsidR="009F6C7A" w:rsidRDefault="009F6C7A" w:rsidP="009F6C7A">
      <w:pPr>
        <w:pStyle w:val="8"/>
        <w:rPr>
          <w:color w:val="FF0000"/>
          <w:sz w:val="22"/>
        </w:rPr>
      </w:pPr>
    </w:p>
    <w:p w:rsidR="009F6C7A" w:rsidRDefault="009F6C7A" w:rsidP="009F6C7A">
      <w:pPr>
        <w:pStyle w:val="8"/>
        <w:rPr>
          <w:color w:val="FF0000"/>
          <w:sz w:val="22"/>
        </w:rPr>
      </w:pPr>
    </w:p>
    <w:p w:rsidR="009F6C7A" w:rsidRDefault="009F6C7A" w:rsidP="009F6C7A">
      <w:pPr>
        <w:pStyle w:val="8"/>
        <w:rPr>
          <w:color w:val="FF0000"/>
          <w:sz w:val="22"/>
        </w:rPr>
      </w:pPr>
    </w:p>
    <w:p w:rsidR="009F6C7A" w:rsidRDefault="009F6C7A" w:rsidP="009F6C7A">
      <w:pPr>
        <w:pStyle w:val="8"/>
        <w:rPr>
          <w:color w:val="FF0000"/>
          <w:sz w:val="22"/>
        </w:rPr>
      </w:pPr>
    </w:p>
    <w:p w:rsidR="009F6C7A" w:rsidRDefault="009F6C7A" w:rsidP="009F6C7A">
      <w:pPr>
        <w:pStyle w:val="8"/>
        <w:rPr>
          <w:color w:val="FF0000"/>
          <w:sz w:val="22"/>
        </w:rPr>
      </w:pPr>
    </w:p>
    <w:p w:rsidR="009F6C7A" w:rsidRDefault="009F6C7A" w:rsidP="009F6C7A">
      <w:pPr>
        <w:pStyle w:val="8"/>
        <w:rPr>
          <w:color w:val="FF0000"/>
          <w:sz w:val="22"/>
        </w:rPr>
      </w:pPr>
    </w:p>
    <w:p w:rsidR="009F6C7A" w:rsidRPr="00B17FBD" w:rsidRDefault="009F6C7A" w:rsidP="009F6C7A">
      <w:pPr>
        <w:pStyle w:val="8"/>
        <w:rPr>
          <w:sz w:val="22"/>
        </w:rPr>
      </w:pPr>
    </w:p>
    <w:p w:rsidR="009F6C7A" w:rsidRDefault="009F6C7A" w:rsidP="009F6C7A">
      <w:pPr>
        <w:rPr>
          <w:rFonts w:ascii="Arial" w:hAnsi="Arial"/>
          <w:b/>
          <w:i/>
          <w:caps/>
          <w:kern w:val="28"/>
          <w:sz w:val="24"/>
        </w:rPr>
      </w:pPr>
    </w:p>
    <w:p w:rsidR="009F6C7A" w:rsidRDefault="009F6C7A">
      <w:pPr>
        <w:rPr>
          <w:rFonts w:ascii="Arial" w:hAnsi="Arial"/>
          <w:b/>
          <w:i/>
          <w:caps/>
          <w:color w:val="548DD4" w:themeColor="text2" w:themeTint="99"/>
          <w:kern w:val="28"/>
          <w:sz w:val="24"/>
        </w:rPr>
      </w:pPr>
    </w:p>
    <w:p w:rsidR="009F6C7A" w:rsidRDefault="009F6C7A">
      <w:pPr>
        <w:rPr>
          <w:rFonts w:ascii="Arial" w:hAnsi="Arial"/>
          <w:b/>
          <w:i/>
          <w:caps/>
          <w:color w:val="548DD4" w:themeColor="text2" w:themeTint="99"/>
          <w:kern w:val="28"/>
          <w:sz w:val="24"/>
        </w:rPr>
      </w:pPr>
      <w:r>
        <w:rPr>
          <w:color w:val="548DD4" w:themeColor="text2" w:themeTint="99"/>
        </w:rPr>
        <w:br w:type="page"/>
      </w:r>
    </w:p>
    <w:p w:rsidR="00DB27B1" w:rsidRPr="004F2F3B" w:rsidRDefault="00DB27B1" w:rsidP="00DB27B1">
      <w:pPr>
        <w:pStyle w:val="1"/>
        <w:rPr>
          <w:color w:val="548DD4" w:themeColor="text2" w:themeTint="99"/>
        </w:rPr>
      </w:pPr>
      <w:r w:rsidRPr="004F2F3B">
        <w:rPr>
          <w:noProof/>
          <w:color w:val="548DD4" w:themeColor="text2" w:themeTint="99"/>
        </w:rPr>
        <w:lastRenderedPageBreak/>
        <w:drawing>
          <wp:anchor distT="0" distB="0" distL="114300" distR="114300" simplePos="0" relativeHeight="251773952" behindDoc="1" locked="0" layoutInCell="1" allowOverlap="1">
            <wp:simplePos x="0" y="0"/>
            <wp:positionH relativeFrom="column">
              <wp:posOffset>84455</wp:posOffset>
            </wp:positionH>
            <wp:positionV relativeFrom="paragraph">
              <wp:posOffset>171450</wp:posOffset>
            </wp:positionV>
            <wp:extent cx="1384935" cy="1259840"/>
            <wp:effectExtent l="19050" t="0" r="5715" b="0"/>
            <wp:wrapTight wrapText="bothSides">
              <wp:wrapPolygon edited="0">
                <wp:start x="1188" y="0"/>
                <wp:lineTo x="-297" y="2286"/>
                <wp:lineTo x="0" y="20903"/>
                <wp:lineTo x="1188" y="21230"/>
                <wp:lineTo x="20204" y="21230"/>
                <wp:lineTo x="20501" y="21230"/>
                <wp:lineTo x="21095" y="20903"/>
                <wp:lineTo x="21392" y="20903"/>
                <wp:lineTo x="21689" y="17637"/>
                <wp:lineTo x="21689" y="2286"/>
                <wp:lineTo x="21095" y="327"/>
                <wp:lineTo x="20204" y="0"/>
                <wp:lineTo x="1188" y="0"/>
              </wp:wrapPolygon>
            </wp:wrapTight>
            <wp:docPr id="48" name="Рисунок 43" descr="транспор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анспорт1.jpg"/>
                    <pic:cNvPicPr/>
                  </pic:nvPicPr>
                  <pic:blipFill>
                    <a:blip r:embed="rId53"/>
                    <a:stretch>
                      <a:fillRect/>
                    </a:stretch>
                  </pic:blipFill>
                  <pic:spPr>
                    <a:xfrm>
                      <a:off x="0" y="0"/>
                      <a:ext cx="1384935" cy="1259840"/>
                    </a:xfrm>
                    <a:prstGeom prst="rect">
                      <a:avLst/>
                    </a:prstGeom>
                    <a:ln>
                      <a:noFill/>
                    </a:ln>
                    <a:effectLst>
                      <a:softEdge rad="112500"/>
                    </a:effectLst>
                  </pic:spPr>
                </pic:pic>
              </a:graphicData>
            </a:graphic>
          </wp:anchor>
        </w:drawing>
      </w:r>
      <w:bookmarkStart w:id="27" w:name="_Toc309826895"/>
      <w:r w:rsidRPr="004F2F3B">
        <w:rPr>
          <w:color w:val="548DD4" w:themeColor="text2" w:themeTint="99"/>
        </w:rPr>
        <w:t>ТРАНСПОРТ И СВЯЗЬ</w:t>
      </w:r>
      <w:bookmarkEnd w:id="27"/>
    </w:p>
    <w:p w:rsidR="00DB27B1" w:rsidRDefault="00DB27B1" w:rsidP="00DB27B1">
      <w:pPr>
        <w:spacing w:before="120"/>
        <w:jc w:val="both"/>
        <w:rPr>
          <w:rFonts w:ascii="Arial" w:hAnsi="Arial" w:cs="Arial"/>
          <w:sz w:val="22"/>
        </w:rPr>
      </w:pPr>
      <w:r w:rsidRPr="0081636C">
        <w:rPr>
          <w:rFonts w:ascii="Arial" w:hAnsi="Arial" w:cs="Arial"/>
          <w:b/>
          <w:sz w:val="22"/>
        </w:rPr>
        <w:t>Транспорт</w:t>
      </w:r>
      <w:r>
        <w:rPr>
          <w:rFonts w:ascii="Arial" w:hAnsi="Arial" w:cs="Arial"/>
          <w:sz w:val="22"/>
        </w:rPr>
        <w:t>. В послевоенные годы, особенно с начала 1950-х годов, в Ульяновской области быстрыми темпами шло развитие железнодорожного, автомобильного, а  позднее и воздушного транспорта. Большое значение в экономической жизни области имел внутренний водный транспорт.</w:t>
      </w:r>
    </w:p>
    <w:p w:rsidR="00DB27B1" w:rsidRDefault="00DB27B1" w:rsidP="00DB27B1">
      <w:pPr>
        <w:ind w:firstLine="709"/>
        <w:jc w:val="both"/>
        <w:rPr>
          <w:rFonts w:ascii="Arial" w:hAnsi="Arial" w:cs="Arial"/>
          <w:sz w:val="22"/>
        </w:rPr>
      </w:pPr>
      <w:r>
        <w:rPr>
          <w:rFonts w:ascii="Arial" w:hAnsi="Arial" w:cs="Arial"/>
          <w:sz w:val="22"/>
        </w:rPr>
        <w:t>Парк автомобилей предприятий всех видов деятельности  вырос с 2 тысяч автомобилей в 1945 году  до 21,</w:t>
      </w:r>
      <w:r w:rsidRPr="00EE672B">
        <w:rPr>
          <w:rFonts w:ascii="Arial" w:hAnsi="Arial" w:cs="Arial"/>
          <w:sz w:val="22"/>
        </w:rPr>
        <w:t>1</w:t>
      </w:r>
      <w:r>
        <w:rPr>
          <w:rFonts w:ascii="Arial" w:hAnsi="Arial" w:cs="Arial"/>
          <w:sz w:val="22"/>
        </w:rPr>
        <w:t xml:space="preserve"> тыс. в 201</w:t>
      </w:r>
      <w:r w:rsidRPr="00EE672B">
        <w:rPr>
          <w:rFonts w:ascii="Arial" w:hAnsi="Arial" w:cs="Arial"/>
          <w:sz w:val="22"/>
        </w:rPr>
        <w:t>1</w:t>
      </w:r>
      <w:r>
        <w:rPr>
          <w:rFonts w:ascii="Arial" w:hAnsi="Arial" w:cs="Arial"/>
          <w:sz w:val="22"/>
        </w:rPr>
        <w:t xml:space="preserve"> году, то есть более чем в 10 раз (при одновременном его сокращении по сравнению с 1990 г</w:t>
      </w:r>
      <w:r>
        <w:rPr>
          <w:rFonts w:ascii="Arial" w:hAnsi="Arial" w:cs="Arial"/>
          <w:sz w:val="22"/>
        </w:rPr>
        <w:t>о</w:t>
      </w:r>
      <w:r>
        <w:rPr>
          <w:rFonts w:ascii="Arial" w:hAnsi="Arial" w:cs="Arial"/>
          <w:sz w:val="22"/>
        </w:rPr>
        <w:t xml:space="preserve">дом </w:t>
      </w:r>
      <w:proofErr w:type="gramStart"/>
      <w:r>
        <w:rPr>
          <w:rFonts w:ascii="Arial" w:hAnsi="Arial" w:cs="Arial"/>
          <w:sz w:val="22"/>
        </w:rPr>
        <w:t>в</w:t>
      </w:r>
      <w:proofErr w:type="gramEnd"/>
      <w:r>
        <w:rPr>
          <w:rFonts w:ascii="Arial" w:hAnsi="Arial" w:cs="Arial"/>
          <w:sz w:val="22"/>
        </w:rPr>
        <w:t xml:space="preserve"> 1,5 раза). Кроме того, в собственности индивидуальных владельцев находится более </w:t>
      </w:r>
      <w:r w:rsidRPr="00EE672B">
        <w:rPr>
          <w:rFonts w:ascii="Arial" w:hAnsi="Arial" w:cs="Arial"/>
          <w:sz w:val="22"/>
        </w:rPr>
        <w:t>30</w:t>
      </w:r>
      <w:r>
        <w:rPr>
          <w:rFonts w:ascii="Arial" w:hAnsi="Arial" w:cs="Arial"/>
          <w:sz w:val="22"/>
        </w:rPr>
        <w:t>0 тысяч автомоб</w:t>
      </w:r>
      <w:r>
        <w:rPr>
          <w:rFonts w:ascii="Arial" w:hAnsi="Arial" w:cs="Arial"/>
          <w:sz w:val="22"/>
        </w:rPr>
        <w:t>и</w:t>
      </w:r>
      <w:r>
        <w:rPr>
          <w:rFonts w:ascii="Arial" w:hAnsi="Arial" w:cs="Arial"/>
          <w:sz w:val="22"/>
        </w:rPr>
        <w:t>лей (по сравнению с 1970 годом их число увеличилось в 70 раз).</w:t>
      </w:r>
    </w:p>
    <w:p w:rsidR="00DB27B1" w:rsidRDefault="00DB27B1" w:rsidP="00DB27B1">
      <w:pPr>
        <w:ind w:firstLine="720"/>
        <w:rPr>
          <w:rFonts w:ascii="Arial" w:hAnsi="Arial" w:cs="Arial"/>
          <w:sz w:val="22"/>
        </w:rPr>
      </w:pPr>
    </w:p>
    <w:p w:rsidR="00DB27B1" w:rsidRPr="00333B71" w:rsidRDefault="00DB27B1" w:rsidP="00DB27B1">
      <w:pPr>
        <w:pStyle w:val="8"/>
        <w:rPr>
          <w:sz w:val="22"/>
          <w:vertAlign w:val="superscript"/>
        </w:rPr>
      </w:pPr>
      <w:r>
        <w:rPr>
          <w:sz w:val="22"/>
        </w:rPr>
        <w:t xml:space="preserve">НАЛИЧИЕ АВТОМОБИЛЕЙ В УЛЬЯНОВСКОЙ ОБЛАСТИ </w:t>
      </w:r>
      <w:r>
        <w:rPr>
          <w:sz w:val="22"/>
          <w:vertAlign w:val="superscript"/>
        </w:rPr>
        <w:t>1)</w:t>
      </w:r>
    </w:p>
    <w:p w:rsidR="00DB27B1" w:rsidRDefault="00DB27B1" w:rsidP="00DB27B1">
      <w:pPr>
        <w:jc w:val="center"/>
        <w:rPr>
          <w:rFonts w:ascii="Arial" w:hAnsi="Arial" w:cs="Arial"/>
          <w:sz w:val="22"/>
          <w:lang w:val="ru-MO"/>
        </w:rPr>
      </w:pPr>
      <w:r>
        <w:rPr>
          <w:rFonts w:ascii="Arial" w:hAnsi="Arial" w:cs="Arial"/>
          <w:sz w:val="22"/>
        </w:rPr>
        <w:t>(на конец года; тыс. единиц)</w:t>
      </w:r>
    </w:p>
    <w:p w:rsidR="00DB27B1" w:rsidRDefault="00DB27B1" w:rsidP="00DB27B1">
      <w:pPr>
        <w:jc w:val="center"/>
        <w:rPr>
          <w:rFonts w:ascii="Arial" w:hAnsi="Arial" w:cs="Arial"/>
          <w:sz w:val="22"/>
          <w:lang w:val="ru-MO"/>
        </w:rPr>
      </w:pPr>
    </w:p>
    <w:p w:rsidR="00DB27B1" w:rsidRDefault="00DB27B1" w:rsidP="00DB27B1">
      <w:pPr>
        <w:jc w:val="center"/>
        <w:rPr>
          <w:rFonts w:ascii="Arial" w:hAnsi="Arial" w:cs="Arial"/>
          <w:sz w:val="22"/>
        </w:rPr>
      </w:pPr>
      <w:r>
        <w:rPr>
          <w:rFonts w:ascii="Arial" w:hAnsi="Arial" w:cs="Arial"/>
          <w:noProof/>
          <w:sz w:val="22"/>
        </w:rPr>
        <w:drawing>
          <wp:inline distT="0" distB="0" distL="0" distR="0">
            <wp:extent cx="8984512" cy="3232298"/>
            <wp:effectExtent l="38100" t="19050" r="26138" b="6202"/>
            <wp:docPr id="59" name="Объект 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DB27B1" w:rsidRDefault="00DB27B1" w:rsidP="00DB27B1">
      <w:pPr>
        <w:spacing w:before="120"/>
        <w:rPr>
          <w:rFonts w:ascii="Arial" w:hAnsi="Arial" w:cs="Arial"/>
          <w:sz w:val="22"/>
        </w:rPr>
      </w:pPr>
      <w:r>
        <w:rPr>
          <w:rFonts w:ascii="Arial" w:hAnsi="Arial" w:cs="Arial"/>
          <w:sz w:val="22"/>
          <w:vertAlign w:val="superscript"/>
        </w:rPr>
        <w:t>1)</w:t>
      </w:r>
      <w:r>
        <w:rPr>
          <w:rFonts w:ascii="Arial" w:hAnsi="Arial" w:cs="Arial"/>
          <w:sz w:val="22"/>
        </w:rPr>
        <w:t xml:space="preserve"> Включая автомобили в собственности граждан</w:t>
      </w:r>
    </w:p>
    <w:p w:rsidR="00DB27B1" w:rsidRDefault="00DB27B1" w:rsidP="00DB27B1">
      <w:pPr>
        <w:ind w:firstLine="709"/>
        <w:jc w:val="both"/>
        <w:rPr>
          <w:rFonts w:ascii="Arial" w:hAnsi="Arial" w:cs="Arial"/>
          <w:sz w:val="22"/>
        </w:rPr>
      </w:pPr>
      <w:r>
        <w:rPr>
          <w:rFonts w:ascii="Arial" w:hAnsi="Arial" w:cs="Arial"/>
          <w:sz w:val="22"/>
        </w:rPr>
        <w:br w:type="page"/>
      </w:r>
      <w:r>
        <w:rPr>
          <w:rFonts w:ascii="Arial" w:hAnsi="Arial" w:cs="Arial"/>
          <w:sz w:val="22"/>
        </w:rPr>
        <w:lastRenderedPageBreak/>
        <w:t>Протяженность автомобильных дорог общего пользования с твердым покрытием в 2011 году по сравнению с 1945 годом увелич</w:t>
      </w:r>
      <w:r>
        <w:rPr>
          <w:rFonts w:ascii="Arial" w:hAnsi="Arial" w:cs="Arial"/>
          <w:sz w:val="22"/>
        </w:rPr>
        <w:t>и</w:t>
      </w:r>
      <w:r>
        <w:rPr>
          <w:rFonts w:ascii="Arial" w:hAnsi="Arial" w:cs="Arial"/>
          <w:sz w:val="22"/>
        </w:rPr>
        <w:t>лась в 16 раз и составила 6546,6 км. В настоящее время  94,4% дорог общего пользования имеют твердое покрытие. Густота автом</w:t>
      </w:r>
      <w:r>
        <w:rPr>
          <w:rFonts w:ascii="Arial" w:hAnsi="Arial" w:cs="Arial"/>
          <w:sz w:val="22"/>
        </w:rPr>
        <w:t>о</w:t>
      </w:r>
      <w:r>
        <w:rPr>
          <w:rFonts w:ascii="Arial" w:hAnsi="Arial" w:cs="Arial"/>
          <w:sz w:val="22"/>
        </w:rPr>
        <w:t xml:space="preserve">бильных дорог общего пользования с твердым покрытием составляет 166,3 км на 1 тыс. кв. км территории. В </w:t>
      </w:r>
      <w:proofErr w:type="gramStart"/>
      <w:r>
        <w:rPr>
          <w:rFonts w:ascii="Arial" w:hAnsi="Arial" w:cs="Arial"/>
          <w:sz w:val="22"/>
        </w:rPr>
        <w:t>последние</w:t>
      </w:r>
      <w:proofErr w:type="gramEnd"/>
      <w:r>
        <w:rPr>
          <w:rFonts w:ascii="Arial" w:hAnsi="Arial" w:cs="Arial"/>
          <w:sz w:val="22"/>
        </w:rPr>
        <w:t xml:space="preserve"> 10 – 15 лет строительство дорог ведется крайне медленно. Если в 1980-е годы в среднем ежегодно вводилось в эксплуатацию около 150 км дорог общего пользования с твердым покрытием, то в 1990-е годы – 77 км, а за период с 2000 по 2011 годы введено всего 74,7 км.</w:t>
      </w:r>
    </w:p>
    <w:p w:rsidR="00DB27B1" w:rsidRPr="00333B71" w:rsidRDefault="00DB27B1" w:rsidP="00DB27B1">
      <w:pPr>
        <w:ind w:firstLine="720"/>
        <w:jc w:val="both"/>
        <w:rPr>
          <w:rFonts w:ascii="Arial" w:hAnsi="Arial" w:cs="Arial"/>
          <w:sz w:val="22"/>
        </w:rPr>
      </w:pPr>
      <w:r>
        <w:rPr>
          <w:rFonts w:ascii="Arial" w:hAnsi="Arial" w:cs="Arial"/>
          <w:sz w:val="22"/>
        </w:rPr>
        <w:t xml:space="preserve">В начале 1960-х годов начала осуществляться замена железнодорожных путей с паровозной тяги на </w:t>
      </w:r>
      <w:proofErr w:type="gramStart"/>
      <w:r>
        <w:rPr>
          <w:rFonts w:ascii="Arial" w:hAnsi="Arial" w:cs="Arial"/>
          <w:sz w:val="22"/>
        </w:rPr>
        <w:t>тепловозную</w:t>
      </w:r>
      <w:proofErr w:type="gramEnd"/>
      <w:r>
        <w:rPr>
          <w:rFonts w:ascii="Arial" w:hAnsi="Arial" w:cs="Arial"/>
          <w:sz w:val="22"/>
        </w:rPr>
        <w:t xml:space="preserve"> и закончилась к 1973 году. Эксплуатационная длина железнодорожных путей общего пользования составляет в настоящее время 697 км, их густота на 10 тыс. кв. км территории области составляет 187,5 км.</w:t>
      </w:r>
    </w:p>
    <w:p w:rsidR="00DB27B1" w:rsidRDefault="00DB27B1" w:rsidP="00DB27B1">
      <w:pPr>
        <w:ind w:firstLine="720"/>
        <w:jc w:val="both"/>
        <w:rPr>
          <w:rFonts w:ascii="Arial" w:hAnsi="Arial" w:cs="Arial"/>
          <w:sz w:val="22"/>
        </w:rPr>
      </w:pPr>
      <w:r>
        <w:rPr>
          <w:rFonts w:ascii="Arial" w:hAnsi="Arial" w:cs="Arial"/>
          <w:sz w:val="22"/>
        </w:rPr>
        <w:t>Значительный скачок в своем развитии транспорт общего пользования области получил в 1980-е годы. В эти годы автомобильным транспортом перевозилось в год более 30 млн. тонн грузов, железнодорожным – более 10 млн., внутренним водным – свыше 2 млн., воздушным – около 4 тысяч тонн грузов.</w:t>
      </w:r>
    </w:p>
    <w:p w:rsidR="00DB27B1" w:rsidRDefault="00DB27B1" w:rsidP="00DB27B1">
      <w:pPr>
        <w:ind w:firstLine="720"/>
        <w:jc w:val="both"/>
        <w:rPr>
          <w:rFonts w:ascii="Arial" w:hAnsi="Arial" w:cs="Arial"/>
          <w:sz w:val="22"/>
        </w:rPr>
      </w:pPr>
      <w:r>
        <w:rPr>
          <w:rFonts w:ascii="Arial" w:hAnsi="Arial" w:cs="Arial"/>
          <w:sz w:val="22"/>
        </w:rPr>
        <w:t>Процессы, происходящие в экономике и социальной жизни России и Ульяновской области, обусловили ряд существенных изм</w:t>
      </w:r>
      <w:r>
        <w:rPr>
          <w:rFonts w:ascii="Arial" w:hAnsi="Arial" w:cs="Arial"/>
          <w:sz w:val="22"/>
        </w:rPr>
        <w:t>е</w:t>
      </w:r>
      <w:r>
        <w:rPr>
          <w:rFonts w:ascii="Arial" w:hAnsi="Arial" w:cs="Arial"/>
          <w:sz w:val="22"/>
        </w:rPr>
        <w:t>нений на транспорте.</w:t>
      </w:r>
    </w:p>
    <w:p w:rsidR="00DB27B1" w:rsidRDefault="00DB27B1" w:rsidP="00DB27B1">
      <w:pPr>
        <w:ind w:firstLine="720"/>
        <w:jc w:val="both"/>
        <w:rPr>
          <w:rFonts w:ascii="Arial" w:hAnsi="Arial" w:cs="Arial"/>
          <w:sz w:val="22"/>
        </w:rPr>
      </w:pPr>
      <w:r>
        <w:rPr>
          <w:rFonts w:ascii="Arial" w:hAnsi="Arial" w:cs="Arial"/>
          <w:sz w:val="22"/>
        </w:rPr>
        <w:t>С начала 1990-х годов наблюдался ежегодный спад объемов перевозок грузов всеми видами транспорта. В 2011 году предпри</w:t>
      </w:r>
      <w:r>
        <w:rPr>
          <w:rFonts w:ascii="Arial" w:hAnsi="Arial" w:cs="Arial"/>
          <w:sz w:val="22"/>
        </w:rPr>
        <w:t>я</w:t>
      </w:r>
      <w:r>
        <w:rPr>
          <w:rFonts w:ascii="Arial" w:hAnsi="Arial" w:cs="Arial"/>
          <w:sz w:val="22"/>
        </w:rPr>
        <w:t>тиями транспорта области перевезено грузов по сравнению с 1990 годом меньше в 4 раза, вместе с тем по сравнению с 2010 годом об</w:t>
      </w:r>
      <w:r>
        <w:rPr>
          <w:rFonts w:ascii="Arial" w:hAnsi="Arial" w:cs="Arial"/>
          <w:sz w:val="22"/>
        </w:rPr>
        <w:t>ъ</w:t>
      </w:r>
      <w:r>
        <w:rPr>
          <w:rFonts w:ascii="Arial" w:hAnsi="Arial" w:cs="Arial"/>
          <w:sz w:val="22"/>
        </w:rPr>
        <w:t>ем перевозок грузов увеличился на 15,4%.</w:t>
      </w:r>
    </w:p>
    <w:p w:rsidR="00DB27B1" w:rsidRDefault="00DB27B1" w:rsidP="00DB27B1">
      <w:pPr>
        <w:pStyle w:val="8"/>
        <w:rPr>
          <w:sz w:val="22"/>
        </w:rPr>
      </w:pPr>
      <w:r>
        <w:rPr>
          <w:sz w:val="22"/>
        </w:rPr>
        <w:t>ПЕРЕВОЗКА ГРУЗОВ ОТДЕЛЬНЫМИ ВИДАМИ ТРАНСПОРТА ОБЩЕГО ПОЛЬЗОВАНИЯ</w:t>
      </w:r>
    </w:p>
    <w:p w:rsidR="00DB27B1" w:rsidRDefault="00DB27B1" w:rsidP="00DB27B1">
      <w:pPr>
        <w:spacing w:after="120"/>
        <w:ind w:left="284" w:hanging="284"/>
        <w:jc w:val="center"/>
        <w:rPr>
          <w:rFonts w:ascii="Arial" w:hAnsi="Arial" w:cs="Arial"/>
          <w:sz w:val="22"/>
        </w:rPr>
      </w:pPr>
      <w:r>
        <w:rPr>
          <w:rFonts w:ascii="Arial" w:hAnsi="Arial" w:cs="Arial"/>
          <w:sz w:val="22"/>
        </w:rPr>
        <w:t>(млн. тонн)</w:t>
      </w:r>
    </w:p>
    <w:tbl>
      <w:tblPr>
        <w:tblStyle w:val="-11"/>
        <w:tblW w:w="5000" w:type="pct"/>
        <w:tblLook w:val="0000" w:firstRow="0" w:lastRow="0" w:firstColumn="0" w:lastColumn="0" w:noHBand="0" w:noVBand="0"/>
      </w:tblPr>
      <w:tblGrid>
        <w:gridCol w:w="3083"/>
        <w:gridCol w:w="879"/>
        <w:gridCol w:w="879"/>
        <w:gridCol w:w="879"/>
        <w:gridCol w:w="879"/>
        <w:gridCol w:w="879"/>
        <w:gridCol w:w="879"/>
        <w:gridCol w:w="879"/>
        <w:gridCol w:w="879"/>
        <w:gridCol w:w="879"/>
        <w:gridCol w:w="879"/>
        <w:gridCol w:w="879"/>
        <w:gridCol w:w="879"/>
        <w:gridCol w:w="873"/>
      </w:tblGrid>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p>
        </w:tc>
        <w:tc>
          <w:tcPr>
            <w:tcW w:w="303"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1945</w:t>
            </w:r>
          </w:p>
        </w:tc>
        <w:tc>
          <w:tcPr>
            <w:cnfStyle w:val="000010000000" w:firstRow="0" w:lastRow="0" w:firstColumn="0" w:lastColumn="0" w:oddVBand="1" w:evenVBand="0" w:oddHBand="0" w:evenHBand="0" w:firstRowFirstColumn="0" w:firstRowLastColumn="0" w:lastRowFirstColumn="0" w:lastRowLastColumn="0"/>
            <w:tcW w:w="30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Pr>
                <w:rFonts w:ascii="Arial" w:hAnsi="Arial" w:cs="Arial"/>
                <w:sz w:val="18"/>
                <w:szCs w:val="18"/>
              </w:rPr>
              <w:t>1950</w:t>
            </w:r>
          </w:p>
        </w:tc>
        <w:tc>
          <w:tcPr>
            <w:tcW w:w="303"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1955</w:t>
            </w:r>
          </w:p>
        </w:tc>
        <w:tc>
          <w:tcPr>
            <w:cnfStyle w:val="000010000000" w:firstRow="0" w:lastRow="0" w:firstColumn="0" w:lastColumn="0" w:oddVBand="1" w:evenVBand="0" w:oddHBand="0" w:evenHBand="0" w:firstRowFirstColumn="0" w:firstRowLastColumn="0" w:lastRowFirstColumn="0" w:lastRowLastColumn="0"/>
            <w:tcW w:w="30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sidRPr="00656EC8">
              <w:rPr>
                <w:rFonts w:ascii="Arial" w:hAnsi="Arial" w:cs="Arial"/>
                <w:sz w:val="18"/>
                <w:szCs w:val="18"/>
              </w:rPr>
              <w:t>1960</w:t>
            </w:r>
          </w:p>
        </w:tc>
        <w:tc>
          <w:tcPr>
            <w:tcW w:w="303"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1965</w:t>
            </w:r>
          </w:p>
        </w:tc>
        <w:tc>
          <w:tcPr>
            <w:cnfStyle w:val="000010000000" w:firstRow="0" w:lastRow="0" w:firstColumn="0" w:lastColumn="0" w:oddVBand="1" w:evenVBand="0" w:oddHBand="0" w:evenHBand="0" w:firstRowFirstColumn="0" w:firstRowLastColumn="0" w:lastRowFirstColumn="0" w:lastRowLastColumn="0"/>
            <w:tcW w:w="30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sidRPr="00656EC8">
              <w:rPr>
                <w:rFonts w:ascii="Arial" w:hAnsi="Arial" w:cs="Arial"/>
                <w:sz w:val="18"/>
                <w:szCs w:val="18"/>
              </w:rPr>
              <w:t>1970</w:t>
            </w:r>
          </w:p>
        </w:tc>
        <w:tc>
          <w:tcPr>
            <w:tcW w:w="303"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1975</w:t>
            </w:r>
          </w:p>
        </w:tc>
        <w:tc>
          <w:tcPr>
            <w:cnfStyle w:val="000010000000" w:firstRow="0" w:lastRow="0" w:firstColumn="0" w:lastColumn="0" w:oddVBand="1" w:evenVBand="0" w:oddHBand="0" w:evenHBand="0" w:firstRowFirstColumn="0" w:firstRowLastColumn="0" w:lastRowFirstColumn="0" w:lastRowLastColumn="0"/>
            <w:tcW w:w="30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sidRPr="00656EC8">
              <w:rPr>
                <w:rFonts w:ascii="Arial" w:hAnsi="Arial" w:cs="Arial"/>
                <w:sz w:val="18"/>
                <w:szCs w:val="18"/>
              </w:rPr>
              <w:t>1980</w:t>
            </w:r>
          </w:p>
        </w:tc>
        <w:tc>
          <w:tcPr>
            <w:tcW w:w="303"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1985</w:t>
            </w:r>
          </w:p>
        </w:tc>
        <w:tc>
          <w:tcPr>
            <w:cnfStyle w:val="000010000000" w:firstRow="0" w:lastRow="0" w:firstColumn="0" w:lastColumn="0" w:oddVBand="1" w:evenVBand="0" w:oddHBand="0" w:evenHBand="0" w:firstRowFirstColumn="0" w:firstRowLastColumn="0" w:lastRowFirstColumn="0" w:lastRowLastColumn="0"/>
            <w:tcW w:w="30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sidRPr="00656EC8">
              <w:rPr>
                <w:rFonts w:ascii="Arial" w:hAnsi="Arial" w:cs="Arial"/>
                <w:sz w:val="18"/>
                <w:szCs w:val="18"/>
              </w:rPr>
              <w:t>1990</w:t>
            </w:r>
          </w:p>
        </w:tc>
        <w:tc>
          <w:tcPr>
            <w:tcW w:w="303"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2000</w:t>
            </w:r>
          </w:p>
        </w:tc>
        <w:tc>
          <w:tcPr>
            <w:cnfStyle w:val="000010000000" w:firstRow="0" w:lastRow="0" w:firstColumn="0" w:lastColumn="0" w:oddVBand="1" w:evenVBand="0" w:oddHBand="0" w:evenHBand="0" w:firstRowFirstColumn="0" w:firstRowLastColumn="0" w:lastRowFirstColumn="0" w:lastRowLastColumn="0"/>
            <w:tcW w:w="30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Pr>
                <w:rFonts w:ascii="Arial" w:hAnsi="Arial" w:cs="Arial"/>
                <w:sz w:val="18"/>
                <w:szCs w:val="18"/>
              </w:rPr>
              <w:t>2010</w:t>
            </w:r>
          </w:p>
        </w:tc>
        <w:tc>
          <w:tcPr>
            <w:tcW w:w="301"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2011</w:t>
            </w:r>
          </w:p>
        </w:tc>
      </w:tr>
      <w:tr w:rsidR="00DB27B1" w:rsidRPr="00656EC8" w:rsidTr="00F15D5C">
        <w:trPr>
          <w:trHeight w:val="378"/>
        </w:trPr>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120"/>
              <w:rPr>
                <w:rFonts w:ascii="Arial" w:hAnsi="Arial" w:cs="Arial"/>
                <w:sz w:val="18"/>
                <w:szCs w:val="18"/>
              </w:rPr>
            </w:pPr>
            <w:r w:rsidRPr="00656EC8">
              <w:rPr>
                <w:rFonts w:ascii="Arial" w:hAnsi="Arial" w:cs="Arial"/>
                <w:sz w:val="18"/>
                <w:szCs w:val="18"/>
              </w:rPr>
              <w:t>Железнодорожный транспорт:</w:t>
            </w:r>
          </w:p>
        </w:tc>
        <w:tc>
          <w:tcPr>
            <w:tcW w:w="303" w:type="pct"/>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tcPr>
          <w:p w:rsidR="00DB27B1" w:rsidRPr="00656EC8" w:rsidRDefault="00DB27B1" w:rsidP="00F15D5C">
            <w:pPr>
              <w:spacing w:before="60" w:after="120"/>
              <w:ind w:right="119"/>
              <w:jc w:val="right"/>
              <w:rPr>
                <w:rFonts w:ascii="Arial" w:hAnsi="Arial" w:cs="Arial"/>
                <w:sz w:val="18"/>
                <w:szCs w:val="18"/>
              </w:rPr>
            </w:pPr>
          </w:p>
        </w:tc>
        <w:tc>
          <w:tcPr>
            <w:tcW w:w="303" w:type="pct"/>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tcPr>
          <w:p w:rsidR="00DB27B1" w:rsidRPr="00656EC8" w:rsidRDefault="00DB27B1" w:rsidP="00F15D5C">
            <w:pPr>
              <w:spacing w:before="60" w:after="120"/>
              <w:ind w:right="119"/>
              <w:jc w:val="right"/>
              <w:rPr>
                <w:rFonts w:ascii="Arial" w:hAnsi="Arial" w:cs="Arial"/>
                <w:sz w:val="18"/>
                <w:szCs w:val="18"/>
              </w:rPr>
            </w:pPr>
          </w:p>
        </w:tc>
        <w:tc>
          <w:tcPr>
            <w:tcW w:w="303" w:type="pct"/>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tcPr>
          <w:p w:rsidR="00DB27B1" w:rsidRPr="00656EC8" w:rsidRDefault="00DB27B1" w:rsidP="00F15D5C">
            <w:pPr>
              <w:spacing w:before="60" w:after="120"/>
              <w:ind w:right="119"/>
              <w:jc w:val="right"/>
              <w:rPr>
                <w:rFonts w:ascii="Arial" w:hAnsi="Arial" w:cs="Arial"/>
                <w:sz w:val="18"/>
                <w:szCs w:val="18"/>
              </w:rPr>
            </w:pPr>
          </w:p>
        </w:tc>
        <w:tc>
          <w:tcPr>
            <w:tcW w:w="303" w:type="pct"/>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tcPr>
          <w:p w:rsidR="00DB27B1" w:rsidRPr="00656EC8" w:rsidRDefault="00DB27B1" w:rsidP="00F15D5C">
            <w:pPr>
              <w:spacing w:before="60" w:after="120"/>
              <w:ind w:right="119"/>
              <w:jc w:val="right"/>
              <w:rPr>
                <w:rFonts w:ascii="Arial" w:hAnsi="Arial" w:cs="Arial"/>
                <w:sz w:val="18"/>
                <w:szCs w:val="18"/>
              </w:rPr>
            </w:pPr>
          </w:p>
        </w:tc>
        <w:tc>
          <w:tcPr>
            <w:tcW w:w="303" w:type="pct"/>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tcPr>
          <w:p w:rsidR="00DB27B1" w:rsidRPr="00656EC8" w:rsidRDefault="00DB27B1" w:rsidP="00F15D5C">
            <w:pPr>
              <w:spacing w:before="60" w:after="120"/>
              <w:ind w:right="119"/>
              <w:jc w:val="right"/>
              <w:rPr>
                <w:rFonts w:ascii="Arial" w:hAnsi="Arial" w:cs="Arial"/>
                <w:sz w:val="18"/>
                <w:szCs w:val="18"/>
              </w:rPr>
            </w:pPr>
          </w:p>
        </w:tc>
        <w:tc>
          <w:tcPr>
            <w:tcW w:w="303" w:type="pct"/>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tcPr>
          <w:p w:rsidR="00DB27B1" w:rsidRPr="00656EC8" w:rsidRDefault="00DB27B1" w:rsidP="00F15D5C">
            <w:pPr>
              <w:spacing w:before="60" w:after="120"/>
              <w:ind w:right="119"/>
              <w:jc w:val="right"/>
              <w:rPr>
                <w:rFonts w:ascii="Arial" w:hAnsi="Arial" w:cs="Arial"/>
                <w:sz w:val="18"/>
                <w:szCs w:val="18"/>
              </w:rPr>
            </w:pPr>
          </w:p>
        </w:tc>
        <w:tc>
          <w:tcPr>
            <w:tcW w:w="301" w:type="pct"/>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120"/>
              <w:ind w:left="227"/>
              <w:rPr>
                <w:rFonts w:ascii="Arial" w:hAnsi="Arial" w:cs="Arial"/>
                <w:sz w:val="18"/>
                <w:szCs w:val="18"/>
              </w:rPr>
            </w:pPr>
            <w:r w:rsidRPr="00656EC8">
              <w:rPr>
                <w:rFonts w:ascii="Arial" w:hAnsi="Arial" w:cs="Arial"/>
                <w:sz w:val="18"/>
                <w:szCs w:val="18"/>
              </w:rPr>
              <w:t>отправлено грузов</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0,9</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2,5</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2,8</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5,6</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7,3</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8,0</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9,8</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10,1</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10,7</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10,3</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3,0</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7630E0" w:rsidRDefault="00DB27B1" w:rsidP="00F15D5C">
            <w:pPr>
              <w:spacing w:before="60" w:after="120"/>
              <w:ind w:right="119"/>
              <w:jc w:val="right"/>
              <w:rPr>
                <w:rFonts w:ascii="Arial" w:hAnsi="Arial" w:cs="Arial"/>
                <w:sz w:val="18"/>
                <w:szCs w:val="18"/>
              </w:rPr>
            </w:pPr>
            <w:r>
              <w:rPr>
                <w:rFonts w:ascii="Arial" w:hAnsi="Arial" w:cs="Arial"/>
                <w:sz w:val="18"/>
                <w:szCs w:val="18"/>
              </w:rPr>
              <w:t>3,5</w:t>
            </w:r>
          </w:p>
        </w:tc>
        <w:tc>
          <w:tcPr>
            <w:tcW w:w="301" w:type="pct"/>
            <w:vAlign w:val="bottom"/>
          </w:tcPr>
          <w:p w:rsidR="00DB27B1" w:rsidRPr="00305E9D"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3,8</w:t>
            </w:r>
          </w:p>
        </w:tc>
      </w:tr>
      <w:tr w:rsidR="00DB27B1" w:rsidRPr="00656EC8" w:rsidTr="00F15D5C">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120"/>
              <w:ind w:left="227"/>
              <w:rPr>
                <w:rFonts w:ascii="Arial" w:hAnsi="Arial" w:cs="Arial"/>
                <w:sz w:val="18"/>
                <w:szCs w:val="18"/>
              </w:rPr>
            </w:pPr>
            <w:r w:rsidRPr="00656EC8">
              <w:rPr>
                <w:rFonts w:ascii="Arial" w:hAnsi="Arial" w:cs="Arial"/>
                <w:sz w:val="18"/>
                <w:szCs w:val="18"/>
              </w:rPr>
              <w:t>прибыло грузов</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1,4</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4,5</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6,0</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6,1</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8,3</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10,1</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11,4</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12,5</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14,0</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14,0</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3,1</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7630E0" w:rsidRDefault="00DB27B1" w:rsidP="00F15D5C">
            <w:pPr>
              <w:spacing w:before="60" w:after="120"/>
              <w:ind w:right="119"/>
              <w:jc w:val="right"/>
              <w:rPr>
                <w:rFonts w:ascii="Arial" w:hAnsi="Arial" w:cs="Arial"/>
                <w:sz w:val="18"/>
                <w:szCs w:val="18"/>
              </w:rPr>
            </w:pPr>
            <w:r>
              <w:rPr>
                <w:rFonts w:ascii="Arial" w:hAnsi="Arial" w:cs="Arial"/>
                <w:sz w:val="18"/>
                <w:szCs w:val="18"/>
              </w:rPr>
              <w:t>1,4</w:t>
            </w:r>
          </w:p>
        </w:tc>
        <w:tc>
          <w:tcPr>
            <w:tcW w:w="301" w:type="pct"/>
            <w:vAlign w:val="bottom"/>
          </w:tcPr>
          <w:p w:rsidR="00DB27B1" w:rsidRPr="00305E9D"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2,8</w:t>
            </w:r>
          </w:p>
        </w:tc>
      </w:tr>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120"/>
              <w:rPr>
                <w:rFonts w:ascii="Arial" w:hAnsi="Arial" w:cs="Arial"/>
                <w:sz w:val="18"/>
                <w:szCs w:val="18"/>
              </w:rPr>
            </w:pPr>
            <w:r w:rsidRPr="00656EC8">
              <w:rPr>
                <w:rFonts w:ascii="Arial" w:hAnsi="Arial" w:cs="Arial"/>
                <w:sz w:val="18"/>
                <w:szCs w:val="18"/>
              </w:rPr>
              <w:t>Внутренний водный транспорт</w:t>
            </w:r>
            <w:proofErr w:type="gramStart"/>
            <w:r>
              <w:rPr>
                <w:rFonts w:ascii="Arial" w:hAnsi="Arial" w:cs="Arial"/>
                <w:sz w:val="18"/>
                <w:szCs w:val="18"/>
                <w:vertAlign w:val="superscript"/>
              </w:rPr>
              <w:t>1</w:t>
            </w:r>
            <w:proofErr w:type="gramEnd"/>
            <w:r w:rsidRPr="00656EC8">
              <w:rPr>
                <w:rFonts w:ascii="Arial" w:hAnsi="Arial" w:cs="Arial"/>
                <w:sz w:val="18"/>
                <w:szCs w:val="18"/>
                <w:vertAlign w:val="superscript"/>
              </w:rPr>
              <w:t>)</w:t>
            </w:r>
            <w:r w:rsidRPr="00656EC8">
              <w:rPr>
                <w:rFonts w:ascii="Arial" w:hAnsi="Arial" w:cs="Arial"/>
                <w:sz w:val="18"/>
                <w:szCs w:val="18"/>
              </w:rPr>
              <w:t>:</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p>
        </w:tc>
        <w:tc>
          <w:tcPr>
            <w:tcW w:w="301"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B27B1" w:rsidRPr="00656EC8" w:rsidTr="00F15D5C">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120"/>
              <w:ind w:left="227"/>
              <w:rPr>
                <w:rFonts w:ascii="Arial" w:hAnsi="Arial" w:cs="Arial"/>
                <w:sz w:val="18"/>
                <w:szCs w:val="18"/>
              </w:rPr>
            </w:pPr>
            <w:r w:rsidRPr="00656EC8">
              <w:rPr>
                <w:rFonts w:ascii="Arial" w:hAnsi="Arial" w:cs="Arial"/>
                <w:sz w:val="18"/>
                <w:szCs w:val="18"/>
              </w:rPr>
              <w:t>отправлено грузов</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0,1</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1,6</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2,4</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0,3</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0,4</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1,1</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1,3</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2,7</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2,1</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0,7</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0,4</w:t>
            </w:r>
          </w:p>
        </w:tc>
        <w:tc>
          <w:tcPr>
            <w:tcW w:w="301"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1,1</w:t>
            </w:r>
          </w:p>
        </w:tc>
      </w:tr>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120"/>
              <w:ind w:left="227"/>
              <w:rPr>
                <w:rFonts w:ascii="Arial" w:hAnsi="Arial" w:cs="Arial"/>
                <w:sz w:val="18"/>
                <w:szCs w:val="18"/>
              </w:rPr>
            </w:pPr>
            <w:r w:rsidRPr="00656EC8">
              <w:rPr>
                <w:rFonts w:ascii="Arial" w:hAnsi="Arial" w:cs="Arial"/>
                <w:sz w:val="18"/>
                <w:szCs w:val="18"/>
              </w:rPr>
              <w:t>прибыло грузов</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0,2</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0,3</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0,7</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1,3</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2,7</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2,7</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3,5</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5,0</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6,9</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1,2</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7630E0" w:rsidRDefault="00DB27B1" w:rsidP="00F15D5C">
            <w:pPr>
              <w:spacing w:before="60" w:after="120"/>
              <w:ind w:right="119"/>
              <w:jc w:val="right"/>
              <w:rPr>
                <w:rFonts w:ascii="Arial" w:hAnsi="Arial" w:cs="Arial"/>
                <w:sz w:val="18"/>
                <w:szCs w:val="18"/>
              </w:rPr>
            </w:pPr>
            <w:r>
              <w:rPr>
                <w:rFonts w:ascii="Arial" w:hAnsi="Arial" w:cs="Arial"/>
                <w:sz w:val="18"/>
                <w:szCs w:val="18"/>
              </w:rPr>
              <w:t>…</w:t>
            </w:r>
          </w:p>
        </w:tc>
        <w:tc>
          <w:tcPr>
            <w:tcW w:w="301" w:type="pct"/>
            <w:vAlign w:val="bottom"/>
          </w:tcPr>
          <w:p w:rsidR="00DB27B1" w:rsidRPr="00333B71"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r>
      <w:tr w:rsidR="00DB27B1" w:rsidRPr="00656EC8" w:rsidTr="00F15D5C">
        <w:tc>
          <w:tcPr>
            <w:cnfStyle w:val="000010000000" w:firstRow="0" w:lastRow="0" w:firstColumn="0" w:lastColumn="0" w:oddVBand="1" w:evenVBand="0" w:oddHBand="0" w:evenHBand="0" w:firstRowFirstColumn="0" w:firstRowLastColumn="0" w:lastRowFirstColumn="0" w:lastRowLastColumn="0"/>
            <w:tcW w:w="1063" w:type="pct"/>
          </w:tcPr>
          <w:p w:rsidR="00DB27B1" w:rsidRPr="00DC4F7D" w:rsidRDefault="00DB27B1" w:rsidP="00F15D5C">
            <w:pPr>
              <w:spacing w:before="60" w:after="120"/>
              <w:rPr>
                <w:rFonts w:ascii="Arial" w:hAnsi="Arial" w:cs="Arial"/>
                <w:sz w:val="18"/>
                <w:szCs w:val="18"/>
                <w:vertAlign w:val="superscript"/>
              </w:rPr>
            </w:pPr>
            <w:r w:rsidRPr="00656EC8">
              <w:rPr>
                <w:rFonts w:ascii="Arial" w:hAnsi="Arial" w:cs="Arial"/>
                <w:sz w:val="18"/>
                <w:szCs w:val="18"/>
              </w:rPr>
              <w:t>Автомобильный транспорт</w:t>
            </w:r>
            <w:proofErr w:type="gramStart"/>
            <w:r>
              <w:rPr>
                <w:rFonts w:ascii="Arial" w:hAnsi="Arial" w:cs="Arial"/>
                <w:sz w:val="18"/>
                <w:szCs w:val="18"/>
                <w:vertAlign w:val="superscript"/>
              </w:rPr>
              <w:t>2</w:t>
            </w:r>
            <w:proofErr w:type="gramEnd"/>
            <w:r>
              <w:rPr>
                <w:rFonts w:ascii="Arial" w:hAnsi="Arial" w:cs="Arial"/>
                <w:sz w:val="18"/>
                <w:szCs w:val="18"/>
                <w:vertAlign w:val="superscript"/>
              </w:rPr>
              <w:t>)</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7630E0" w:rsidRDefault="00DB27B1" w:rsidP="00F15D5C">
            <w:pPr>
              <w:spacing w:before="60" w:after="120"/>
              <w:ind w:right="119"/>
              <w:jc w:val="right"/>
              <w:rPr>
                <w:rFonts w:ascii="Arial" w:hAnsi="Arial" w:cs="Arial"/>
                <w:sz w:val="18"/>
                <w:szCs w:val="18"/>
              </w:rPr>
            </w:pPr>
            <w:r>
              <w:rPr>
                <w:rFonts w:ascii="Arial" w:hAnsi="Arial" w:cs="Arial"/>
                <w:sz w:val="18"/>
                <w:szCs w:val="18"/>
              </w:rPr>
              <w:t>…</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15,9</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19,9</w:t>
            </w:r>
          </w:p>
        </w:tc>
        <w:tc>
          <w:tcPr>
            <w:tcW w:w="303" w:type="pct"/>
            <w:vAlign w:val="bottom"/>
          </w:tcPr>
          <w:p w:rsidR="00DB27B1" w:rsidRPr="0044508D"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24,4</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33,5</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 xml:space="preserve"> 34,4</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26,4</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 xml:space="preserve"> 31,2</w:t>
            </w:r>
          </w:p>
        </w:tc>
        <w:tc>
          <w:tcPr>
            <w:tcW w:w="303" w:type="pct"/>
            <w:vAlign w:val="bottom"/>
          </w:tcPr>
          <w:p w:rsidR="00DB27B1" w:rsidRPr="00656EC8"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5,0</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5,2</w:t>
            </w:r>
          </w:p>
        </w:tc>
        <w:tc>
          <w:tcPr>
            <w:tcW w:w="301" w:type="pct"/>
            <w:vAlign w:val="bottom"/>
          </w:tcPr>
          <w:p w:rsidR="00DB27B1" w:rsidRPr="00DC4F7D" w:rsidRDefault="00DB27B1" w:rsidP="00F15D5C">
            <w:pPr>
              <w:spacing w:before="60" w:after="120"/>
              <w:ind w:right="119"/>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C4F7D">
              <w:rPr>
                <w:rFonts w:ascii="Arial" w:hAnsi="Arial" w:cs="Arial"/>
                <w:sz w:val="18"/>
                <w:szCs w:val="18"/>
              </w:rPr>
              <w:t>5,6</w:t>
            </w:r>
          </w:p>
        </w:tc>
      </w:tr>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tcPr>
          <w:p w:rsidR="00DB27B1" w:rsidRPr="00333B71" w:rsidRDefault="00DB27B1" w:rsidP="00F15D5C">
            <w:pPr>
              <w:spacing w:before="60" w:after="120"/>
              <w:ind w:right="-87"/>
              <w:rPr>
                <w:rFonts w:ascii="Arial" w:hAnsi="Arial" w:cs="Arial"/>
                <w:sz w:val="18"/>
                <w:szCs w:val="18"/>
                <w:vertAlign w:val="superscript"/>
              </w:rPr>
            </w:pPr>
            <w:proofErr w:type="gramStart"/>
            <w:r w:rsidRPr="00656EC8">
              <w:rPr>
                <w:rFonts w:ascii="Arial" w:hAnsi="Arial" w:cs="Arial"/>
                <w:sz w:val="18"/>
                <w:szCs w:val="18"/>
              </w:rPr>
              <w:t>Воздушный транспорт, тыс. т</w:t>
            </w:r>
            <w:r>
              <w:rPr>
                <w:rFonts w:ascii="Arial" w:hAnsi="Arial" w:cs="Arial"/>
                <w:sz w:val="18"/>
                <w:szCs w:val="18"/>
                <w:vertAlign w:val="superscript"/>
              </w:rPr>
              <w:t>3)</w:t>
            </w:r>
            <w:proofErr w:type="gramEnd"/>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7630E0" w:rsidRDefault="00DB27B1" w:rsidP="00F15D5C">
            <w:pPr>
              <w:spacing w:before="60" w:after="120"/>
              <w:ind w:right="119"/>
              <w:jc w:val="right"/>
              <w:rPr>
                <w:rFonts w:ascii="Arial" w:hAnsi="Arial" w:cs="Arial"/>
                <w:sz w:val="18"/>
                <w:szCs w:val="18"/>
              </w:rPr>
            </w:pPr>
            <w:r>
              <w:rPr>
                <w:rFonts w:ascii="Arial" w:hAnsi="Arial" w:cs="Arial"/>
                <w:sz w:val="18"/>
                <w:szCs w:val="18"/>
              </w:rPr>
              <w:t>…</w:t>
            </w:r>
          </w:p>
        </w:tc>
        <w:tc>
          <w:tcPr>
            <w:tcW w:w="303" w:type="pct"/>
            <w:vAlign w:val="bottom"/>
          </w:tcPr>
          <w:p w:rsidR="00DB27B1" w:rsidRPr="007630E0"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0,9</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2,1</w:t>
            </w:r>
          </w:p>
        </w:tc>
        <w:tc>
          <w:tcPr>
            <w:tcW w:w="303" w:type="pct"/>
            <w:vAlign w:val="bottom"/>
          </w:tcPr>
          <w:p w:rsidR="00DB27B1" w:rsidRPr="0044508D"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3,6</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4,0</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sidRPr="00656EC8">
              <w:rPr>
                <w:rFonts w:ascii="Arial" w:hAnsi="Arial" w:cs="Arial"/>
                <w:sz w:val="18"/>
                <w:szCs w:val="18"/>
              </w:rPr>
              <w:t>3,3</w:t>
            </w:r>
          </w:p>
        </w:tc>
        <w:tc>
          <w:tcPr>
            <w:tcW w:w="303"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2,1</w:t>
            </w:r>
          </w:p>
        </w:tc>
        <w:tc>
          <w:tcPr>
            <w:cnfStyle w:val="000010000000" w:firstRow="0" w:lastRow="0" w:firstColumn="0" w:lastColumn="0" w:oddVBand="1" w:evenVBand="0" w:oddHBand="0" w:evenHBand="0" w:firstRowFirstColumn="0" w:firstRowLastColumn="0" w:lastRowFirstColumn="0" w:lastRowLastColumn="0"/>
            <w:tcW w:w="303" w:type="pct"/>
            <w:vAlign w:val="bottom"/>
          </w:tcPr>
          <w:p w:rsidR="00DB27B1" w:rsidRPr="00656EC8" w:rsidRDefault="00DB27B1" w:rsidP="00F15D5C">
            <w:pPr>
              <w:spacing w:before="60" w:after="120"/>
              <w:ind w:right="119"/>
              <w:jc w:val="right"/>
              <w:rPr>
                <w:rFonts w:ascii="Arial" w:hAnsi="Arial" w:cs="Arial"/>
                <w:sz w:val="18"/>
                <w:szCs w:val="18"/>
              </w:rPr>
            </w:pPr>
            <w:r>
              <w:rPr>
                <w:rFonts w:ascii="Arial" w:hAnsi="Arial" w:cs="Arial"/>
                <w:sz w:val="18"/>
                <w:szCs w:val="18"/>
              </w:rPr>
              <w:t>1,2</w:t>
            </w:r>
          </w:p>
        </w:tc>
        <w:tc>
          <w:tcPr>
            <w:tcW w:w="301" w:type="pct"/>
            <w:vAlign w:val="bottom"/>
          </w:tcPr>
          <w:p w:rsidR="00DB27B1" w:rsidRPr="00656EC8" w:rsidRDefault="00DB27B1" w:rsidP="00F15D5C">
            <w:pPr>
              <w:spacing w:before="60" w:after="120"/>
              <w:ind w:right="119"/>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0,7</w:t>
            </w:r>
          </w:p>
        </w:tc>
      </w:tr>
      <w:tr w:rsidR="00DB27B1" w:rsidRPr="00656EC8" w:rsidTr="00F15D5C">
        <w:tc>
          <w:tcPr>
            <w:cnfStyle w:val="000010000000" w:firstRow="0" w:lastRow="0" w:firstColumn="0" w:lastColumn="0" w:oddVBand="1" w:evenVBand="0" w:oddHBand="0" w:evenHBand="0" w:firstRowFirstColumn="0" w:firstRowLastColumn="0" w:lastRowFirstColumn="0" w:lastRowLastColumn="0"/>
            <w:tcW w:w="5000" w:type="pct"/>
            <w:gridSpan w:val="14"/>
          </w:tcPr>
          <w:p w:rsidR="00DB27B1" w:rsidRDefault="00DB27B1" w:rsidP="00F15D5C">
            <w:pPr>
              <w:spacing w:before="60"/>
              <w:ind w:right="119"/>
              <w:rPr>
                <w:rFonts w:ascii="Arial" w:hAnsi="Arial" w:cs="Arial"/>
                <w:sz w:val="18"/>
                <w:szCs w:val="18"/>
              </w:rPr>
            </w:pPr>
            <w:r>
              <w:rPr>
                <w:rFonts w:ascii="Arial" w:hAnsi="Arial" w:cs="Arial"/>
                <w:sz w:val="18"/>
                <w:szCs w:val="18"/>
                <w:vertAlign w:val="superscript"/>
              </w:rPr>
              <w:t>1)</w:t>
            </w:r>
            <w:r>
              <w:rPr>
                <w:rFonts w:ascii="Arial" w:hAnsi="Arial" w:cs="Arial"/>
                <w:sz w:val="18"/>
                <w:szCs w:val="18"/>
              </w:rPr>
              <w:t xml:space="preserve"> С 2010 г. по организациям всех видов экономической деятельности, включая малые предприятия (кроме </w:t>
            </w:r>
            <w:proofErr w:type="spellStart"/>
            <w:r>
              <w:rPr>
                <w:rFonts w:ascii="Arial" w:hAnsi="Arial" w:cs="Arial"/>
                <w:sz w:val="18"/>
                <w:szCs w:val="18"/>
              </w:rPr>
              <w:t>микропредприятий</w:t>
            </w:r>
            <w:proofErr w:type="spellEnd"/>
            <w:r>
              <w:rPr>
                <w:rFonts w:ascii="Arial" w:hAnsi="Arial" w:cs="Arial"/>
                <w:sz w:val="18"/>
                <w:szCs w:val="18"/>
              </w:rPr>
              <w:t>)</w:t>
            </w:r>
          </w:p>
          <w:p w:rsidR="00DB27B1" w:rsidRDefault="00DB27B1" w:rsidP="00F15D5C">
            <w:pPr>
              <w:spacing w:before="60"/>
              <w:ind w:right="119"/>
              <w:rPr>
                <w:rFonts w:ascii="Arial" w:hAnsi="Arial" w:cs="Arial"/>
                <w:sz w:val="18"/>
                <w:szCs w:val="18"/>
              </w:rPr>
            </w:pPr>
            <w:r>
              <w:rPr>
                <w:rFonts w:ascii="Arial" w:hAnsi="Arial" w:cs="Arial"/>
                <w:sz w:val="18"/>
                <w:szCs w:val="18"/>
                <w:vertAlign w:val="superscript"/>
              </w:rPr>
              <w:t xml:space="preserve">2) </w:t>
            </w:r>
            <w:r>
              <w:rPr>
                <w:rFonts w:ascii="Arial" w:hAnsi="Arial" w:cs="Arial"/>
                <w:sz w:val="18"/>
                <w:szCs w:val="18"/>
              </w:rPr>
              <w:t xml:space="preserve">С 2000 г. с учетом всех крупных, средних и малых автопредприятий (с 2010 г. кроме </w:t>
            </w:r>
            <w:proofErr w:type="spellStart"/>
            <w:r>
              <w:rPr>
                <w:rFonts w:ascii="Arial" w:hAnsi="Arial" w:cs="Arial"/>
                <w:sz w:val="18"/>
                <w:szCs w:val="18"/>
              </w:rPr>
              <w:t>микропредприятий</w:t>
            </w:r>
            <w:proofErr w:type="spellEnd"/>
            <w:r>
              <w:rPr>
                <w:rFonts w:ascii="Arial" w:hAnsi="Arial" w:cs="Arial"/>
                <w:sz w:val="18"/>
                <w:szCs w:val="18"/>
              </w:rPr>
              <w:t>) и оценки объемов работы, выполненной предпринимател</w:t>
            </w:r>
            <w:r>
              <w:rPr>
                <w:rFonts w:ascii="Arial" w:hAnsi="Arial" w:cs="Arial"/>
                <w:sz w:val="18"/>
                <w:szCs w:val="18"/>
              </w:rPr>
              <w:t>я</w:t>
            </w:r>
            <w:r>
              <w:rPr>
                <w:rFonts w:ascii="Arial" w:hAnsi="Arial" w:cs="Arial"/>
                <w:sz w:val="18"/>
                <w:szCs w:val="18"/>
              </w:rPr>
              <w:t>ми (физическими лицами), занимающимися коммерческими грузовыми перевозками</w:t>
            </w:r>
          </w:p>
          <w:p w:rsidR="00DB27B1" w:rsidRPr="00DC4F7D" w:rsidRDefault="00DB27B1" w:rsidP="00F15D5C">
            <w:pPr>
              <w:spacing w:before="60" w:after="120"/>
              <w:ind w:right="119"/>
              <w:rPr>
                <w:rFonts w:ascii="Arial" w:hAnsi="Arial" w:cs="Arial"/>
                <w:sz w:val="18"/>
                <w:szCs w:val="18"/>
              </w:rPr>
            </w:pPr>
            <w:r>
              <w:rPr>
                <w:rFonts w:ascii="Arial" w:hAnsi="Arial" w:cs="Arial"/>
                <w:sz w:val="18"/>
                <w:szCs w:val="18"/>
                <w:vertAlign w:val="superscript"/>
              </w:rPr>
              <w:t xml:space="preserve">3) </w:t>
            </w:r>
            <w:r>
              <w:rPr>
                <w:rFonts w:ascii="Arial" w:hAnsi="Arial" w:cs="Arial"/>
                <w:sz w:val="18"/>
                <w:szCs w:val="18"/>
              </w:rPr>
              <w:t>По отправлению</w:t>
            </w:r>
          </w:p>
        </w:tc>
      </w:tr>
    </w:tbl>
    <w:p w:rsidR="00DB27B1" w:rsidRDefault="00DB27B1" w:rsidP="00DB27B1">
      <w:pPr>
        <w:ind w:firstLine="720"/>
        <w:jc w:val="both"/>
        <w:rPr>
          <w:rFonts w:ascii="Arial" w:hAnsi="Arial" w:cs="Arial"/>
          <w:sz w:val="22"/>
        </w:rPr>
      </w:pPr>
      <w:r>
        <w:rPr>
          <w:rFonts w:ascii="Arial" w:hAnsi="Arial" w:cs="Arial"/>
          <w:sz w:val="22"/>
        </w:rPr>
        <w:lastRenderedPageBreak/>
        <w:t>В условиях рынка развиваются перевозки, выполняемые предпринимателями – владельцами грузовых автомобилей. Их доля в общем объеме перевозок в 2011 году еще невелика (8,6%), но в грузообороте автомобильного транспорта всех видов деятельности они составляют 32,4%, так как осуществляют перевозки преимущественно на дальние расстояния.</w:t>
      </w:r>
    </w:p>
    <w:p w:rsidR="00DB27B1" w:rsidRDefault="00DB27B1" w:rsidP="00DB27B1">
      <w:pPr>
        <w:ind w:firstLine="720"/>
        <w:jc w:val="both"/>
        <w:rPr>
          <w:rFonts w:ascii="Arial" w:hAnsi="Arial" w:cs="Arial"/>
          <w:sz w:val="22"/>
        </w:rPr>
      </w:pPr>
      <w:r>
        <w:rPr>
          <w:rFonts w:ascii="Arial" w:hAnsi="Arial" w:cs="Arial"/>
          <w:sz w:val="22"/>
        </w:rPr>
        <w:t>С момента образования Ульяновской области основную роль в перевозках пассажиров играл автомобильный транспорт. За пер</w:t>
      </w:r>
      <w:r>
        <w:rPr>
          <w:rFonts w:ascii="Arial" w:hAnsi="Arial" w:cs="Arial"/>
          <w:sz w:val="22"/>
        </w:rPr>
        <w:t>и</w:t>
      </w:r>
      <w:r>
        <w:rPr>
          <w:rFonts w:ascii="Arial" w:hAnsi="Arial" w:cs="Arial"/>
          <w:sz w:val="22"/>
        </w:rPr>
        <w:t>од с 1950 по 1988 годы объем перевозок пассажиров автомобильным транспортом общего пользования возрос более чем в 50 раз. О</w:t>
      </w:r>
      <w:r>
        <w:rPr>
          <w:rFonts w:ascii="Arial" w:hAnsi="Arial" w:cs="Arial"/>
          <w:sz w:val="22"/>
        </w:rPr>
        <w:t>д</w:t>
      </w:r>
      <w:r>
        <w:rPr>
          <w:rFonts w:ascii="Arial" w:hAnsi="Arial" w:cs="Arial"/>
          <w:sz w:val="22"/>
        </w:rPr>
        <w:t xml:space="preserve">нако, начиная с 1988 года, автобусный парк предприятий транспорта ежегодно сокращается и изнашивается. В 2011 году по сравнению с 1990 годом число эксплуатационных автобусов, находящихся в собственности организаций автомобильного транспорта, уменьшилось в 3,7 раза, а автобусные перевозки сократились более чем в 10 раз. </w:t>
      </w:r>
    </w:p>
    <w:p w:rsidR="00DB27B1" w:rsidRDefault="00DB27B1" w:rsidP="00DB27B1">
      <w:pPr>
        <w:ind w:firstLine="720"/>
        <w:jc w:val="both"/>
        <w:rPr>
          <w:rFonts w:ascii="Arial" w:hAnsi="Arial" w:cs="Arial"/>
          <w:sz w:val="22"/>
        </w:rPr>
      </w:pPr>
      <w:r>
        <w:rPr>
          <w:rFonts w:ascii="Arial" w:hAnsi="Arial" w:cs="Arial"/>
          <w:sz w:val="22"/>
        </w:rPr>
        <w:t>В то же время быстрыми темпами шло развитие пассажирских перевозок, осуществляемых автотранспортом физических лиц (владельцев автобусов). Их доля в общем объеме автобусных перевозок увеличилась с 9,9% в 2000 году, до 78,7% в 2011 году.</w:t>
      </w:r>
    </w:p>
    <w:p w:rsidR="00DB27B1" w:rsidRPr="002B7E03" w:rsidRDefault="00DB27B1" w:rsidP="00DB27B1">
      <w:pPr>
        <w:ind w:firstLine="720"/>
        <w:jc w:val="both"/>
        <w:rPr>
          <w:rFonts w:ascii="Arial" w:hAnsi="Arial" w:cs="Arial"/>
          <w:sz w:val="22"/>
        </w:rPr>
      </w:pPr>
      <w:r>
        <w:rPr>
          <w:rFonts w:ascii="Arial" w:hAnsi="Arial" w:cs="Arial"/>
          <w:sz w:val="22"/>
        </w:rPr>
        <w:t>Значительная доля внутригородских пассажирских перевозок приходится на трамвайный транспорт. С начала пуска в эксплуат</w:t>
      </w:r>
      <w:r>
        <w:rPr>
          <w:rFonts w:ascii="Arial" w:hAnsi="Arial" w:cs="Arial"/>
          <w:sz w:val="22"/>
        </w:rPr>
        <w:t>а</w:t>
      </w:r>
      <w:r>
        <w:rPr>
          <w:rFonts w:ascii="Arial" w:hAnsi="Arial" w:cs="Arial"/>
          <w:sz w:val="22"/>
        </w:rPr>
        <w:t>цию трамваев (в 1954 году) протяженность развернутого трамвайного пути увеличилась в 9 раз, число пассажирских вагонов – в 35,7 р</w:t>
      </w:r>
      <w:r>
        <w:rPr>
          <w:rFonts w:ascii="Arial" w:hAnsi="Arial" w:cs="Arial"/>
          <w:sz w:val="22"/>
        </w:rPr>
        <w:t>а</w:t>
      </w:r>
      <w:r>
        <w:rPr>
          <w:rFonts w:ascii="Arial" w:hAnsi="Arial" w:cs="Arial"/>
          <w:sz w:val="22"/>
        </w:rPr>
        <w:t xml:space="preserve">за. В настоящее время трамваями в среднем ежедневно перевозится на 1,5% пассажиров меньше, чем в 1960 году, и в 5,8 раза меньше уровня 2000 года. Такая ситуация обусловлена перераспределением пассажиропотока на маршрутные таксомоторы, а также ростом числа индивидуальных легковых автомобилей. </w:t>
      </w:r>
    </w:p>
    <w:p w:rsidR="00DB27B1" w:rsidRDefault="00DB27B1" w:rsidP="00DB27B1">
      <w:pPr>
        <w:ind w:firstLine="720"/>
        <w:jc w:val="both"/>
        <w:rPr>
          <w:rFonts w:ascii="Arial" w:hAnsi="Arial" w:cs="Arial"/>
          <w:sz w:val="22"/>
        </w:rPr>
      </w:pPr>
      <w:r>
        <w:rPr>
          <w:rFonts w:ascii="Arial" w:hAnsi="Arial" w:cs="Arial"/>
          <w:sz w:val="22"/>
        </w:rPr>
        <w:t>Протяженность троллейбусных линий увеличилась за годы своего существования (с 1973 года) в 4,2 раза, число троллейбусов  –  в 4,4 раза. Количество перевезенных пассажиров в 2011 году увеличилось по сравнению с 1975 годом в 3,5 раза, а по сравнению с 2000 годом сократилось в 3,3 раза.</w:t>
      </w:r>
    </w:p>
    <w:p w:rsidR="00DB27B1" w:rsidRDefault="00DB27B1" w:rsidP="00DB27B1">
      <w:pPr>
        <w:ind w:firstLine="720"/>
        <w:jc w:val="both"/>
        <w:rPr>
          <w:rFonts w:ascii="Arial" w:hAnsi="Arial" w:cs="Arial"/>
          <w:sz w:val="22"/>
        </w:rPr>
      </w:pPr>
      <w:r>
        <w:rPr>
          <w:rFonts w:ascii="Arial" w:hAnsi="Arial" w:cs="Arial"/>
          <w:sz w:val="22"/>
        </w:rPr>
        <w:t>Многократное повышение цен и тарифов на услуги пассажирского транспорта привели к сокращению пассажирских перевозок ж</w:t>
      </w:r>
      <w:r>
        <w:rPr>
          <w:rFonts w:ascii="Arial" w:hAnsi="Arial" w:cs="Arial"/>
          <w:sz w:val="22"/>
        </w:rPr>
        <w:t>е</w:t>
      </w:r>
      <w:r>
        <w:rPr>
          <w:rFonts w:ascii="Arial" w:hAnsi="Arial" w:cs="Arial"/>
          <w:sz w:val="22"/>
        </w:rPr>
        <w:t>лезнодорожным, воздушным и внутренним водным транспортом.</w:t>
      </w:r>
    </w:p>
    <w:p w:rsidR="00DB27B1" w:rsidRDefault="00DB27B1" w:rsidP="00DB27B1">
      <w:pPr>
        <w:ind w:firstLine="720"/>
        <w:jc w:val="both"/>
        <w:rPr>
          <w:rFonts w:ascii="Arial" w:hAnsi="Arial" w:cs="Arial"/>
          <w:sz w:val="22"/>
        </w:rPr>
      </w:pPr>
      <w:r>
        <w:rPr>
          <w:rFonts w:ascii="Arial" w:hAnsi="Arial" w:cs="Arial"/>
          <w:sz w:val="22"/>
        </w:rPr>
        <w:t>В настоящее время отправление пассажиров железнодорожным транспортом в 2,8 раза ниже уровня 1945 года, судами внутре</w:t>
      </w:r>
      <w:r>
        <w:rPr>
          <w:rFonts w:ascii="Arial" w:hAnsi="Arial" w:cs="Arial"/>
          <w:sz w:val="22"/>
        </w:rPr>
        <w:t>н</w:t>
      </w:r>
      <w:r>
        <w:rPr>
          <w:rFonts w:ascii="Arial" w:hAnsi="Arial" w:cs="Arial"/>
          <w:sz w:val="22"/>
        </w:rPr>
        <w:t>него водного транспорта выполняются только прогулочные рейсы. Отправление пассажиров воздушным транспортом в 2011 году сокр</w:t>
      </w:r>
      <w:r>
        <w:rPr>
          <w:rFonts w:ascii="Arial" w:hAnsi="Arial" w:cs="Arial"/>
          <w:sz w:val="22"/>
        </w:rPr>
        <w:t>а</w:t>
      </w:r>
      <w:r>
        <w:rPr>
          <w:rFonts w:ascii="Arial" w:hAnsi="Arial" w:cs="Arial"/>
          <w:sz w:val="22"/>
        </w:rPr>
        <w:t>тилось по сравнению с 1990 годом в 5,2 раза.</w:t>
      </w:r>
    </w:p>
    <w:p w:rsidR="00DB27B1" w:rsidRDefault="00DB27B1" w:rsidP="00DB27B1">
      <w:pPr>
        <w:pStyle w:val="8"/>
        <w:rPr>
          <w:sz w:val="22"/>
        </w:rPr>
      </w:pPr>
      <w:r>
        <w:rPr>
          <w:sz w:val="22"/>
        </w:rPr>
        <w:t>ПЕРЕВОЗКА ПАССАЖИРОВ ОТДЕЛЬНЫМИ ВИДАМИ ТРАНСПОРТА ОБЩЕГО ПОЛЬЗОВАНИЯ</w:t>
      </w:r>
    </w:p>
    <w:p w:rsidR="00DB27B1" w:rsidRDefault="00DB27B1" w:rsidP="00DB27B1">
      <w:pPr>
        <w:spacing w:after="120"/>
        <w:ind w:left="284" w:hanging="284"/>
        <w:jc w:val="center"/>
        <w:rPr>
          <w:rFonts w:ascii="Arial" w:hAnsi="Arial" w:cs="Arial"/>
          <w:sz w:val="22"/>
        </w:rPr>
      </w:pPr>
      <w:r>
        <w:rPr>
          <w:rFonts w:ascii="Arial" w:hAnsi="Arial" w:cs="Arial"/>
          <w:sz w:val="22"/>
        </w:rPr>
        <w:t>(млн. человек)</w:t>
      </w:r>
    </w:p>
    <w:tbl>
      <w:tblPr>
        <w:tblStyle w:val="-11"/>
        <w:tblW w:w="5000" w:type="pct"/>
        <w:tblLook w:val="0000" w:firstRow="0" w:lastRow="0" w:firstColumn="0" w:lastColumn="0" w:noHBand="0" w:noVBand="0"/>
      </w:tblPr>
      <w:tblGrid>
        <w:gridCol w:w="3083"/>
        <w:gridCol w:w="1143"/>
        <w:gridCol w:w="1143"/>
        <w:gridCol w:w="1143"/>
        <w:gridCol w:w="1143"/>
        <w:gridCol w:w="1143"/>
        <w:gridCol w:w="1143"/>
        <w:gridCol w:w="1143"/>
        <w:gridCol w:w="1143"/>
        <w:gridCol w:w="1143"/>
        <w:gridCol w:w="1134"/>
      </w:tblGrid>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p>
        </w:tc>
        <w:tc>
          <w:tcPr>
            <w:tcW w:w="394"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1960</w:t>
            </w:r>
          </w:p>
        </w:tc>
        <w:tc>
          <w:tcPr>
            <w:cnfStyle w:val="000010000000" w:firstRow="0" w:lastRow="0" w:firstColumn="0" w:lastColumn="0" w:oddVBand="1" w:evenVBand="0" w:oddHBand="0" w:evenHBand="0" w:firstRowFirstColumn="0" w:firstRowLastColumn="0" w:lastRowFirstColumn="0" w:lastRowLastColumn="0"/>
            <w:tcW w:w="394"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Pr>
                <w:rFonts w:ascii="Arial" w:hAnsi="Arial" w:cs="Arial"/>
                <w:sz w:val="18"/>
                <w:szCs w:val="18"/>
              </w:rPr>
              <w:t>1965</w:t>
            </w:r>
          </w:p>
        </w:tc>
        <w:tc>
          <w:tcPr>
            <w:tcW w:w="394"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1970</w:t>
            </w:r>
          </w:p>
        </w:tc>
        <w:tc>
          <w:tcPr>
            <w:cnfStyle w:val="000010000000" w:firstRow="0" w:lastRow="0" w:firstColumn="0" w:lastColumn="0" w:oddVBand="1" w:evenVBand="0" w:oddHBand="0" w:evenHBand="0" w:firstRowFirstColumn="0" w:firstRowLastColumn="0" w:lastRowFirstColumn="0" w:lastRowLastColumn="0"/>
            <w:tcW w:w="394"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Pr>
                <w:rFonts w:ascii="Arial" w:hAnsi="Arial" w:cs="Arial"/>
                <w:sz w:val="18"/>
                <w:szCs w:val="18"/>
              </w:rPr>
              <w:t>1975</w:t>
            </w:r>
          </w:p>
        </w:tc>
        <w:tc>
          <w:tcPr>
            <w:tcW w:w="394"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1980</w:t>
            </w:r>
          </w:p>
        </w:tc>
        <w:tc>
          <w:tcPr>
            <w:cnfStyle w:val="000010000000" w:firstRow="0" w:lastRow="0" w:firstColumn="0" w:lastColumn="0" w:oddVBand="1" w:evenVBand="0" w:oddHBand="0" w:evenHBand="0" w:firstRowFirstColumn="0" w:firstRowLastColumn="0" w:lastRowFirstColumn="0" w:lastRowLastColumn="0"/>
            <w:tcW w:w="394"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Pr>
                <w:rFonts w:ascii="Arial" w:hAnsi="Arial" w:cs="Arial"/>
                <w:sz w:val="18"/>
                <w:szCs w:val="18"/>
              </w:rPr>
              <w:t>1985</w:t>
            </w:r>
          </w:p>
        </w:tc>
        <w:tc>
          <w:tcPr>
            <w:tcW w:w="394"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1990</w:t>
            </w:r>
          </w:p>
        </w:tc>
        <w:tc>
          <w:tcPr>
            <w:cnfStyle w:val="000010000000" w:firstRow="0" w:lastRow="0" w:firstColumn="0" w:lastColumn="0" w:oddVBand="1" w:evenVBand="0" w:oddHBand="0" w:evenHBand="0" w:firstRowFirstColumn="0" w:firstRowLastColumn="0" w:lastRowFirstColumn="0" w:lastRowLastColumn="0"/>
            <w:tcW w:w="394" w:type="pct"/>
            <w:shd w:val="clear" w:color="auto" w:fill="C6D9F1" w:themeFill="text2" w:themeFillTint="33"/>
          </w:tcPr>
          <w:p w:rsidR="00DB27B1" w:rsidRPr="00656EC8" w:rsidRDefault="00DB27B1" w:rsidP="00F15D5C">
            <w:pPr>
              <w:spacing w:before="60" w:after="60"/>
              <w:jc w:val="center"/>
              <w:rPr>
                <w:rFonts w:ascii="Arial" w:hAnsi="Arial" w:cs="Arial"/>
                <w:sz w:val="18"/>
                <w:szCs w:val="18"/>
              </w:rPr>
            </w:pPr>
            <w:r w:rsidRPr="00656EC8">
              <w:rPr>
                <w:rFonts w:ascii="Arial" w:hAnsi="Arial" w:cs="Arial"/>
                <w:sz w:val="18"/>
                <w:szCs w:val="18"/>
              </w:rPr>
              <w:t>2000</w:t>
            </w:r>
          </w:p>
        </w:tc>
        <w:tc>
          <w:tcPr>
            <w:tcW w:w="394" w:type="pct"/>
            <w:shd w:val="clear" w:color="auto" w:fill="C6D9F1" w:themeFill="text2" w:themeFillTint="33"/>
          </w:tcPr>
          <w:p w:rsidR="00DB27B1" w:rsidRPr="00656EC8" w:rsidRDefault="00DB27B1" w:rsidP="00F15D5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2010</w:t>
            </w:r>
          </w:p>
        </w:tc>
        <w:tc>
          <w:tcPr>
            <w:cnfStyle w:val="000010000000" w:firstRow="0" w:lastRow="0" w:firstColumn="0" w:lastColumn="0" w:oddVBand="1" w:evenVBand="0" w:oddHBand="0" w:evenHBand="0" w:firstRowFirstColumn="0" w:firstRowLastColumn="0" w:lastRowFirstColumn="0" w:lastRowLastColumn="0"/>
            <w:tcW w:w="391" w:type="pct"/>
            <w:shd w:val="clear" w:color="auto" w:fill="C6D9F1" w:themeFill="text2" w:themeFillTint="33"/>
          </w:tcPr>
          <w:p w:rsidR="00DB27B1" w:rsidRPr="00E77221" w:rsidRDefault="00DB27B1" w:rsidP="00F15D5C">
            <w:pPr>
              <w:spacing w:before="60" w:after="60"/>
              <w:jc w:val="center"/>
              <w:rPr>
                <w:rFonts w:ascii="Arial" w:hAnsi="Arial" w:cs="Arial"/>
                <w:sz w:val="18"/>
                <w:szCs w:val="18"/>
              </w:rPr>
            </w:pPr>
            <w:r>
              <w:rPr>
                <w:rFonts w:ascii="Arial" w:hAnsi="Arial" w:cs="Arial"/>
                <w:sz w:val="18"/>
                <w:szCs w:val="18"/>
              </w:rPr>
              <w:t>2011</w:t>
            </w:r>
          </w:p>
        </w:tc>
      </w:tr>
      <w:tr w:rsidR="00DB27B1" w:rsidRPr="00656EC8" w:rsidTr="00F15D5C">
        <w:trPr>
          <w:trHeight w:val="378"/>
        </w:trPr>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60"/>
              <w:rPr>
                <w:rFonts w:ascii="Arial" w:hAnsi="Arial" w:cs="Arial"/>
                <w:sz w:val="18"/>
                <w:szCs w:val="18"/>
              </w:rPr>
            </w:pPr>
            <w:r w:rsidRPr="00656EC8">
              <w:rPr>
                <w:rFonts w:ascii="Arial" w:hAnsi="Arial" w:cs="Arial"/>
                <w:sz w:val="18"/>
                <w:szCs w:val="18"/>
              </w:rPr>
              <w:t>Железнодорожный транспорт</w:t>
            </w:r>
            <w:proofErr w:type="gramStart"/>
            <w:r>
              <w:rPr>
                <w:rFonts w:ascii="Arial" w:hAnsi="Arial" w:cs="Arial"/>
                <w:sz w:val="18"/>
                <w:szCs w:val="18"/>
                <w:vertAlign w:val="superscript"/>
              </w:rPr>
              <w:t>1</w:t>
            </w:r>
            <w:proofErr w:type="gramEnd"/>
            <w:r>
              <w:rPr>
                <w:rFonts w:ascii="Arial" w:hAnsi="Arial" w:cs="Arial"/>
                <w:sz w:val="18"/>
                <w:szCs w:val="18"/>
                <w:vertAlign w:val="superscript"/>
              </w:rPr>
              <w:t>)</w:t>
            </w:r>
            <w:r w:rsidRPr="00656EC8">
              <w:rPr>
                <w:rFonts w:ascii="Arial" w:hAnsi="Arial" w:cs="Arial"/>
                <w:sz w:val="18"/>
                <w:szCs w:val="18"/>
              </w:rPr>
              <w:t>:</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6,2</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5,9</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5,5</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5,7</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5,2</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4,7</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4,6</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sidRPr="00656EC8">
              <w:rPr>
                <w:rFonts w:ascii="Arial" w:hAnsi="Arial" w:cs="Arial"/>
                <w:sz w:val="18"/>
                <w:szCs w:val="18"/>
              </w:rPr>
              <w:t>3,0</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1,5</w:t>
            </w:r>
          </w:p>
        </w:tc>
        <w:tc>
          <w:tcPr>
            <w:cnfStyle w:val="000010000000" w:firstRow="0" w:lastRow="0" w:firstColumn="0" w:lastColumn="0" w:oddVBand="1" w:evenVBand="0" w:oddHBand="0" w:evenHBand="0" w:firstRowFirstColumn="0" w:firstRowLastColumn="0" w:lastRowFirstColumn="0" w:lastRowLastColumn="0"/>
            <w:tcW w:w="391"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1,7</w:t>
            </w:r>
          </w:p>
        </w:tc>
      </w:tr>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tcPr>
          <w:p w:rsidR="00DB27B1" w:rsidRPr="00656EC8" w:rsidRDefault="00DB27B1" w:rsidP="00F15D5C">
            <w:pPr>
              <w:spacing w:before="60" w:after="60"/>
              <w:ind w:left="284"/>
              <w:rPr>
                <w:rFonts w:ascii="Arial" w:hAnsi="Arial" w:cs="Arial"/>
                <w:sz w:val="18"/>
                <w:szCs w:val="18"/>
              </w:rPr>
            </w:pPr>
            <w:r w:rsidRPr="00656EC8">
              <w:rPr>
                <w:rFonts w:ascii="Arial" w:hAnsi="Arial" w:cs="Arial"/>
                <w:sz w:val="18"/>
                <w:szCs w:val="18"/>
              </w:rPr>
              <w:t xml:space="preserve">в том числе </w:t>
            </w:r>
            <w:r w:rsidRPr="00656EC8">
              <w:rPr>
                <w:rFonts w:ascii="Arial" w:hAnsi="Arial" w:cs="Arial"/>
                <w:sz w:val="18"/>
                <w:szCs w:val="18"/>
              </w:rPr>
              <w:br/>
              <w:t>в пригородном  сообщении</w:t>
            </w:r>
          </w:p>
        </w:tc>
        <w:tc>
          <w:tcPr>
            <w:tcW w:w="394" w:type="pct"/>
            <w:vAlign w:val="bottom"/>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5,1</w:t>
            </w:r>
          </w:p>
        </w:tc>
        <w:tc>
          <w:tcPr>
            <w:cnfStyle w:val="000010000000" w:firstRow="0" w:lastRow="0" w:firstColumn="0" w:lastColumn="0" w:oddVBand="1" w:evenVBand="0" w:oddHBand="0" w:evenHBand="0" w:firstRowFirstColumn="0" w:firstRowLastColumn="0" w:lastRowFirstColumn="0" w:lastRowLastColumn="0"/>
            <w:tcW w:w="394" w:type="pct"/>
            <w:vAlign w:val="bottom"/>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4,6</w:t>
            </w:r>
          </w:p>
        </w:tc>
        <w:tc>
          <w:tcPr>
            <w:tcW w:w="394" w:type="pct"/>
            <w:vAlign w:val="bottom"/>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3,8</w:t>
            </w:r>
          </w:p>
        </w:tc>
        <w:tc>
          <w:tcPr>
            <w:cnfStyle w:val="000010000000" w:firstRow="0" w:lastRow="0" w:firstColumn="0" w:lastColumn="0" w:oddVBand="1" w:evenVBand="0" w:oddHBand="0" w:evenHBand="0" w:firstRowFirstColumn="0" w:firstRowLastColumn="0" w:lastRowFirstColumn="0" w:lastRowLastColumn="0"/>
            <w:tcW w:w="394" w:type="pct"/>
            <w:vAlign w:val="bottom"/>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3,7</w:t>
            </w:r>
          </w:p>
        </w:tc>
        <w:tc>
          <w:tcPr>
            <w:tcW w:w="394" w:type="pct"/>
            <w:vAlign w:val="bottom"/>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3,2</w:t>
            </w:r>
          </w:p>
        </w:tc>
        <w:tc>
          <w:tcPr>
            <w:cnfStyle w:val="000010000000" w:firstRow="0" w:lastRow="0" w:firstColumn="0" w:lastColumn="0" w:oddVBand="1" w:evenVBand="0" w:oddHBand="0" w:evenHBand="0" w:firstRowFirstColumn="0" w:firstRowLastColumn="0" w:lastRowFirstColumn="0" w:lastRowLastColumn="0"/>
            <w:tcW w:w="394" w:type="pct"/>
            <w:vAlign w:val="bottom"/>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2,6</w:t>
            </w:r>
          </w:p>
        </w:tc>
        <w:tc>
          <w:tcPr>
            <w:tcW w:w="394" w:type="pct"/>
            <w:vAlign w:val="bottom"/>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2,8</w:t>
            </w:r>
          </w:p>
        </w:tc>
        <w:tc>
          <w:tcPr>
            <w:cnfStyle w:val="000010000000" w:firstRow="0" w:lastRow="0" w:firstColumn="0" w:lastColumn="0" w:oddVBand="1" w:evenVBand="0" w:oddHBand="0" w:evenHBand="0" w:firstRowFirstColumn="0" w:firstRowLastColumn="0" w:lastRowFirstColumn="0" w:lastRowLastColumn="0"/>
            <w:tcW w:w="394" w:type="pct"/>
            <w:vAlign w:val="bottom"/>
          </w:tcPr>
          <w:p w:rsidR="00DB27B1" w:rsidRPr="00656EC8" w:rsidRDefault="00DB27B1" w:rsidP="00F15D5C">
            <w:pPr>
              <w:spacing w:before="60" w:after="60"/>
              <w:ind w:right="157"/>
              <w:jc w:val="right"/>
              <w:rPr>
                <w:rFonts w:ascii="Arial" w:hAnsi="Arial" w:cs="Arial"/>
                <w:sz w:val="18"/>
                <w:szCs w:val="18"/>
              </w:rPr>
            </w:pPr>
            <w:r w:rsidRPr="00656EC8">
              <w:rPr>
                <w:rFonts w:ascii="Arial" w:hAnsi="Arial" w:cs="Arial"/>
                <w:sz w:val="18"/>
                <w:szCs w:val="18"/>
              </w:rPr>
              <w:t>2,3</w:t>
            </w:r>
          </w:p>
        </w:tc>
        <w:tc>
          <w:tcPr>
            <w:tcW w:w="394" w:type="pct"/>
            <w:vAlign w:val="bottom"/>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0,9</w:t>
            </w:r>
          </w:p>
        </w:tc>
        <w:tc>
          <w:tcPr>
            <w:cnfStyle w:val="000010000000" w:firstRow="0" w:lastRow="0" w:firstColumn="0" w:lastColumn="0" w:oddVBand="1" w:evenVBand="0" w:oddHBand="0" w:evenHBand="0" w:firstRowFirstColumn="0" w:firstRowLastColumn="0" w:lastRowFirstColumn="0" w:lastRowLastColumn="0"/>
            <w:tcW w:w="391" w:type="pct"/>
            <w:vAlign w:val="bottom"/>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1,1</w:t>
            </w:r>
          </w:p>
        </w:tc>
      </w:tr>
      <w:tr w:rsidR="00DB27B1" w:rsidRPr="00656EC8" w:rsidTr="00F15D5C">
        <w:tc>
          <w:tcPr>
            <w:cnfStyle w:val="000010000000" w:firstRow="0" w:lastRow="0" w:firstColumn="0" w:lastColumn="0" w:oddVBand="1" w:evenVBand="0" w:oddHBand="0" w:evenHBand="0" w:firstRowFirstColumn="0" w:firstRowLastColumn="0" w:lastRowFirstColumn="0" w:lastRowLastColumn="0"/>
            <w:tcW w:w="1063" w:type="pct"/>
          </w:tcPr>
          <w:p w:rsidR="00DB27B1" w:rsidRPr="00131D0F" w:rsidRDefault="00DB27B1" w:rsidP="00F15D5C">
            <w:pPr>
              <w:spacing w:before="60" w:after="60"/>
              <w:rPr>
                <w:rFonts w:ascii="Arial" w:hAnsi="Arial" w:cs="Arial"/>
                <w:sz w:val="18"/>
                <w:szCs w:val="18"/>
                <w:vertAlign w:val="superscript"/>
              </w:rPr>
            </w:pPr>
            <w:r w:rsidRPr="00656EC8">
              <w:rPr>
                <w:rFonts w:ascii="Arial" w:hAnsi="Arial" w:cs="Arial"/>
                <w:sz w:val="18"/>
                <w:szCs w:val="18"/>
              </w:rPr>
              <w:t>Внутренний водный транспорт</w:t>
            </w:r>
            <w:proofErr w:type="gramStart"/>
            <w:r>
              <w:rPr>
                <w:rFonts w:ascii="Arial" w:hAnsi="Arial" w:cs="Arial"/>
                <w:sz w:val="18"/>
                <w:szCs w:val="18"/>
                <w:vertAlign w:val="superscript"/>
              </w:rPr>
              <w:t>1</w:t>
            </w:r>
            <w:proofErr w:type="gramEnd"/>
            <w:r>
              <w:rPr>
                <w:rFonts w:ascii="Arial" w:hAnsi="Arial" w:cs="Arial"/>
                <w:sz w:val="18"/>
                <w:szCs w:val="18"/>
                <w:vertAlign w:val="superscript"/>
              </w:rPr>
              <w:t>)</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0,4</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44508D" w:rsidRDefault="00DB27B1" w:rsidP="00F15D5C">
            <w:pPr>
              <w:spacing w:before="60" w:after="60"/>
              <w:ind w:right="157"/>
              <w:jc w:val="right"/>
              <w:rPr>
                <w:rFonts w:ascii="Arial" w:hAnsi="Arial" w:cs="Arial"/>
                <w:sz w:val="18"/>
                <w:szCs w:val="18"/>
              </w:rPr>
            </w:pPr>
            <w:r w:rsidRPr="0044508D">
              <w:rPr>
                <w:rFonts w:ascii="Arial" w:hAnsi="Arial" w:cs="Arial"/>
                <w:sz w:val="18"/>
                <w:szCs w:val="18"/>
              </w:rPr>
              <w:t>-</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0,6</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0,5</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0,4</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0,5</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0,7</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sidRPr="00656EC8">
              <w:rPr>
                <w:rFonts w:ascii="Arial" w:hAnsi="Arial" w:cs="Arial"/>
                <w:sz w:val="18"/>
                <w:szCs w:val="18"/>
              </w:rPr>
              <w:t>0,02</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0,04</w:t>
            </w:r>
          </w:p>
        </w:tc>
        <w:tc>
          <w:tcPr>
            <w:cnfStyle w:val="000010000000" w:firstRow="0" w:lastRow="0" w:firstColumn="0" w:lastColumn="0" w:oddVBand="1" w:evenVBand="0" w:oddHBand="0" w:evenHBand="0" w:firstRowFirstColumn="0" w:firstRowLastColumn="0" w:lastRowFirstColumn="0" w:lastRowLastColumn="0"/>
            <w:tcW w:w="391" w:type="pct"/>
          </w:tcPr>
          <w:p w:rsidR="00DB27B1" w:rsidRPr="002653D9" w:rsidRDefault="00DB27B1" w:rsidP="00F15D5C">
            <w:pPr>
              <w:spacing w:before="60" w:after="60"/>
              <w:ind w:right="157"/>
              <w:jc w:val="right"/>
              <w:rPr>
                <w:rFonts w:ascii="Arial" w:hAnsi="Arial" w:cs="Arial"/>
                <w:sz w:val="18"/>
                <w:szCs w:val="18"/>
              </w:rPr>
            </w:pPr>
            <w:r>
              <w:rPr>
                <w:rFonts w:ascii="Arial" w:hAnsi="Arial" w:cs="Arial"/>
                <w:sz w:val="18"/>
                <w:szCs w:val="18"/>
              </w:rPr>
              <w:t>0,02</w:t>
            </w:r>
          </w:p>
        </w:tc>
      </w:tr>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63" w:type="pct"/>
          </w:tcPr>
          <w:p w:rsidR="00DB27B1" w:rsidRPr="000D25F5" w:rsidRDefault="00DB27B1" w:rsidP="00F15D5C">
            <w:pPr>
              <w:spacing w:before="60" w:after="60"/>
              <w:rPr>
                <w:rFonts w:ascii="Arial" w:hAnsi="Arial" w:cs="Arial"/>
                <w:sz w:val="18"/>
                <w:szCs w:val="18"/>
                <w:vertAlign w:val="superscript"/>
              </w:rPr>
            </w:pPr>
            <w:r w:rsidRPr="00656EC8">
              <w:rPr>
                <w:rFonts w:ascii="Arial" w:hAnsi="Arial" w:cs="Arial"/>
                <w:sz w:val="18"/>
                <w:szCs w:val="18"/>
              </w:rPr>
              <w:t>Автомобильный транспорт</w:t>
            </w:r>
            <w:proofErr w:type="gramStart"/>
            <w:r>
              <w:rPr>
                <w:rFonts w:ascii="Arial" w:hAnsi="Arial" w:cs="Arial"/>
                <w:sz w:val="18"/>
                <w:szCs w:val="18"/>
                <w:vertAlign w:val="superscript"/>
              </w:rPr>
              <w:t>2</w:t>
            </w:r>
            <w:proofErr w:type="gramEnd"/>
            <w:r>
              <w:rPr>
                <w:rFonts w:ascii="Arial" w:hAnsi="Arial" w:cs="Arial"/>
                <w:sz w:val="18"/>
                <w:szCs w:val="18"/>
                <w:vertAlign w:val="superscript"/>
              </w:rPr>
              <w:t>)</w:t>
            </w:r>
          </w:p>
        </w:tc>
        <w:tc>
          <w:tcPr>
            <w:tcW w:w="394" w:type="pct"/>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40,6</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D803B4" w:rsidRDefault="00DB27B1" w:rsidP="00F15D5C">
            <w:pPr>
              <w:spacing w:before="60" w:after="60"/>
              <w:ind w:right="157"/>
              <w:jc w:val="right"/>
              <w:rPr>
                <w:rFonts w:ascii="Arial" w:hAnsi="Arial" w:cs="Arial"/>
                <w:sz w:val="18"/>
                <w:szCs w:val="18"/>
              </w:rPr>
            </w:pPr>
            <w:r>
              <w:rPr>
                <w:rFonts w:ascii="Arial" w:hAnsi="Arial" w:cs="Arial"/>
                <w:sz w:val="18"/>
                <w:szCs w:val="18"/>
              </w:rPr>
              <w:t>…</w:t>
            </w:r>
          </w:p>
        </w:tc>
        <w:tc>
          <w:tcPr>
            <w:tcW w:w="394" w:type="pct"/>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87,5</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108,1</w:t>
            </w:r>
          </w:p>
        </w:tc>
        <w:tc>
          <w:tcPr>
            <w:tcW w:w="394" w:type="pct"/>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159,6</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209,5</w:t>
            </w:r>
          </w:p>
        </w:tc>
        <w:tc>
          <w:tcPr>
            <w:tcW w:w="394" w:type="pct"/>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56EC8">
              <w:rPr>
                <w:rFonts w:ascii="Arial" w:hAnsi="Arial" w:cs="Arial"/>
                <w:sz w:val="18"/>
                <w:szCs w:val="18"/>
              </w:rPr>
              <w:t>198,2</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sidRPr="00656EC8">
              <w:rPr>
                <w:rFonts w:ascii="Arial" w:hAnsi="Arial" w:cs="Arial"/>
                <w:sz w:val="18"/>
                <w:szCs w:val="18"/>
              </w:rPr>
              <w:t>140,3</w:t>
            </w:r>
          </w:p>
        </w:tc>
        <w:tc>
          <w:tcPr>
            <w:tcW w:w="394" w:type="pct"/>
          </w:tcPr>
          <w:p w:rsidR="00DB27B1" w:rsidRPr="00656EC8" w:rsidRDefault="00DB27B1" w:rsidP="00F15D5C">
            <w:pPr>
              <w:spacing w:before="60" w:after="60"/>
              <w:ind w:right="157"/>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91,1</w:t>
            </w:r>
          </w:p>
        </w:tc>
        <w:tc>
          <w:tcPr>
            <w:cnfStyle w:val="000010000000" w:firstRow="0" w:lastRow="0" w:firstColumn="0" w:lastColumn="0" w:oddVBand="1" w:evenVBand="0" w:oddHBand="0" w:evenHBand="0" w:firstRowFirstColumn="0" w:firstRowLastColumn="0" w:lastRowFirstColumn="0" w:lastRowLastColumn="0"/>
            <w:tcW w:w="391" w:type="pct"/>
          </w:tcPr>
          <w:p w:rsidR="00DB27B1" w:rsidRPr="00131D0F" w:rsidRDefault="00DB27B1" w:rsidP="00F15D5C">
            <w:pPr>
              <w:spacing w:before="60" w:after="60"/>
              <w:ind w:right="157"/>
              <w:jc w:val="right"/>
              <w:rPr>
                <w:rFonts w:ascii="Arial" w:hAnsi="Arial" w:cs="Arial"/>
                <w:sz w:val="18"/>
                <w:szCs w:val="18"/>
              </w:rPr>
            </w:pPr>
            <w:r w:rsidRPr="00131D0F">
              <w:rPr>
                <w:rFonts w:ascii="Arial" w:hAnsi="Arial" w:cs="Arial"/>
                <w:sz w:val="18"/>
                <w:szCs w:val="18"/>
              </w:rPr>
              <w:t>91,5</w:t>
            </w:r>
          </w:p>
        </w:tc>
      </w:tr>
      <w:tr w:rsidR="00DB27B1" w:rsidRPr="00656EC8" w:rsidTr="00F15D5C">
        <w:tc>
          <w:tcPr>
            <w:cnfStyle w:val="000010000000" w:firstRow="0" w:lastRow="0" w:firstColumn="0" w:lastColumn="0" w:oddVBand="1" w:evenVBand="0" w:oddHBand="0" w:evenHBand="0" w:firstRowFirstColumn="0" w:firstRowLastColumn="0" w:lastRowFirstColumn="0" w:lastRowLastColumn="0"/>
            <w:tcW w:w="1063" w:type="pct"/>
          </w:tcPr>
          <w:p w:rsidR="00DB27B1" w:rsidRPr="00131D0F" w:rsidRDefault="00DB27B1" w:rsidP="00F15D5C">
            <w:pPr>
              <w:spacing w:before="60" w:after="60"/>
              <w:rPr>
                <w:rFonts w:ascii="Arial" w:hAnsi="Arial" w:cs="Arial"/>
                <w:sz w:val="18"/>
                <w:szCs w:val="18"/>
                <w:vertAlign w:val="superscript"/>
              </w:rPr>
            </w:pPr>
            <w:r w:rsidRPr="00656EC8">
              <w:rPr>
                <w:rFonts w:ascii="Arial" w:hAnsi="Arial" w:cs="Arial"/>
                <w:sz w:val="18"/>
                <w:szCs w:val="18"/>
              </w:rPr>
              <w:t>Воздушный транспорт</w:t>
            </w:r>
            <w:proofErr w:type="gramStart"/>
            <w:r>
              <w:rPr>
                <w:rFonts w:ascii="Arial" w:hAnsi="Arial" w:cs="Arial"/>
                <w:sz w:val="18"/>
                <w:szCs w:val="18"/>
                <w:vertAlign w:val="superscript"/>
              </w:rPr>
              <w:t>1</w:t>
            </w:r>
            <w:proofErr w:type="gramEnd"/>
            <w:r>
              <w:rPr>
                <w:rFonts w:ascii="Arial" w:hAnsi="Arial" w:cs="Arial"/>
                <w:sz w:val="18"/>
                <w:szCs w:val="18"/>
                <w:vertAlign w:val="superscript"/>
              </w:rPr>
              <w:t>)</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0,07</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0,2</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0,2</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0,2</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0,3</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56EC8">
              <w:rPr>
                <w:rFonts w:ascii="Arial" w:hAnsi="Arial" w:cs="Arial"/>
                <w:sz w:val="18"/>
                <w:szCs w:val="18"/>
              </w:rPr>
              <w:t>0,4</w:t>
            </w:r>
          </w:p>
        </w:tc>
        <w:tc>
          <w:tcPr>
            <w:cnfStyle w:val="000010000000" w:firstRow="0" w:lastRow="0" w:firstColumn="0" w:lastColumn="0" w:oddVBand="1" w:evenVBand="0" w:oddHBand="0" w:evenHBand="0" w:firstRowFirstColumn="0" w:firstRowLastColumn="0" w:lastRowFirstColumn="0" w:lastRowLastColumn="0"/>
            <w:tcW w:w="394" w:type="pct"/>
          </w:tcPr>
          <w:p w:rsidR="00DB27B1" w:rsidRPr="00656EC8" w:rsidRDefault="00DB27B1" w:rsidP="00F15D5C">
            <w:pPr>
              <w:spacing w:before="60" w:after="60"/>
              <w:ind w:right="157"/>
              <w:jc w:val="right"/>
              <w:rPr>
                <w:rFonts w:ascii="Arial" w:hAnsi="Arial" w:cs="Arial"/>
                <w:sz w:val="18"/>
                <w:szCs w:val="18"/>
              </w:rPr>
            </w:pPr>
            <w:r w:rsidRPr="00656EC8">
              <w:rPr>
                <w:rFonts w:ascii="Arial" w:hAnsi="Arial" w:cs="Arial"/>
                <w:sz w:val="18"/>
                <w:szCs w:val="18"/>
              </w:rPr>
              <w:t>0,01</w:t>
            </w:r>
          </w:p>
        </w:tc>
        <w:tc>
          <w:tcPr>
            <w:tcW w:w="394" w:type="pct"/>
          </w:tcPr>
          <w:p w:rsidR="00DB27B1" w:rsidRPr="00656EC8" w:rsidRDefault="00DB27B1" w:rsidP="00F15D5C">
            <w:pPr>
              <w:spacing w:before="60" w:after="60"/>
              <w:ind w:right="157"/>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0,06</w:t>
            </w:r>
          </w:p>
        </w:tc>
        <w:tc>
          <w:tcPr>
            <w:cnfStyle w:val="000010000000" w:firstRow="0" w:lastRow="0" w:firstColumn="0" w:lastColumn="0" w:oddVBand="1" w:evenVBand="0" w:oddHBand="0" w:evenHBand="0" w:firstRowFirstColumn="0" w:firstRowLastColumn="0" w:lastRowFirstColumn="0" w:lastRowLastColumn="0"/>
            <w:tcW w:w="391" w:type="pct"/>
          </w:tcPr>
          <w:p w:rsidR="00DB27B1" w:rsidRPr="00656EC8" w:rsidRDefault="00DB27B1" w:rsidP="00F15D5C">
            <w:pPr>
              <w:spacing w:before="60" w:after="60"/>
              <w:ind w:right="157"/>
              <w:jc w:val="right"/>
              <w:rPr>
                <w:rFonts w:ascii="Arial" w:hAnsi="Arial" w:cs="Arial"/>
                <w:sz w:val="18"/>
                <w:szCs w:val="18"/>
              </w:rPr>
            </w:pPr>
            <w:r>
              <w:rPr>
                <w:rFonts w:ascii="Arial" w:hAnsi="Arial" w:cs="Arial"/>
                <w:sz w:val="18"/>
                <w:szCs w:val="18"/>
              </w:rPr>
              <w:t>0,07</w:t>
            </w:r>
          </w:p>
        </w:tc>
      </w:tr>
      <w:tr w:rsidR="00DB27B1" w:rsidRPr="00656EC8" w:rsidTr="00F15D5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11"/>
          </w:tcPr>
          <w:p w:rsidR="00DB27B1" w:rsidRPr="000D25F5" w:rsidRDefault="00DB27B1" w:rsidP="00F15D5C">
            <w:pPr>
              <w:spacing w:before="60" w:after="60"/>
              <w:ind w:right="157"/>
              <w:rPr>
                <w:rFonts w:ascii="Arial" w:hAnsi="Arial" w:cs="Arial"/>
                <w:sz w:val="18"/>
                <w:szCs w:val="18"/>
              </w:rPr>
            </w:pPr>
            <w:r>
              <w:rPr>
                <w:rFonts w:ascii="Arial" w:hAnsi="Arial" w:cs="Arial"/>
                <w:sz w:val="18"/>
                <w:szCs w:val="18"/>
                <w:vertAlign w:val="superscript"/>
              </w:rPr>
              <w:t xml:space="preserve">1) </w:t>
            </w:r>
            <w:r>
              <w:rPr>
                <w:rFonts w:ascii="Arial" w:hAnsi="Arial" w:cs="Arial"/>
                <w:sz w:val="18"/>
                <w:szCs w:val="18"/>
              </w:rPr>
              <w:t>По отправлению; с 2010 г. перевозки пассажиров внутренним водным транспортом – включая прогулочные рейсы</w:t>
            </w:r>
            <w:r>
              <w:rPr>
                <w:rFonts w:ascii="Arial" w:hAnsi="Arial" w:cs="Arial"/>
                <w:sz w:val="18"/>
                <w:szCs w:val="18"/>
              </w:rPr>
              <w:br/>
            </w:r>
            <w:r>
              <w:rPr>
                <w:rFonts w:ascii="Arial" w:hAnsi="Arial" w:cs="Arial"/>
                <w:sz w:val="18"/>
                <w:szCs w:val="18"/>
                <w:vertAlign w:val="superscript"/>
              </w:rPr>
              <w:t>2)</w:t>
            </w:r>
            <w:r>
              <w:rPr>
                <w:rFonts w:ascii="Arial" w:hAnsi="Arial" w:cs="Arial"/>
                <w:sz w:val="18"/>
                <w:szCs w:val="18"/>
              </w:rPr>
              <w:t xml:space="preserve"> С 2000 года включая перевозки пассажиров малыми предприятиями и физическими лицами (владельцами автобусов)</w:t>
            </w:r>
          </w:p>
        </w:tc>
      </w:tr>
    </w:tbl>
    <w:p w:rsidR="00DB27B1" w:rsidRDefault="00DB27B1" w:rsidP="00DB27B1">
      <w:pPr>
        <w:ind w:firstLine="720"/>
        <w:jc w:val="both"/>
        <w:rPr>
          <w:rFonts w:ascii="Arial" w:hAnsi="Arial" w:cs="Arial"/>
          <w:b/>
          <w:sz w:val="22"/>
        </w:rPr>
      </w:pPr>
    </w:p>
    <w:p w:rsidR="00023055" w:rsidRDefault="00023055">
      <w:pPr>
        <w:rPr>
          <w:rFonts w:ascii="Arial" w:hAnsi="Arial" w:cs="Arial"/>
          <w:b/>
          <w:sz w:val="22"/>
        </w:rPr>
      </w:pPr>
      <w:r>
        <w:rPr>
          <w:rFonts w:ascii="Arial" w:hAnsi="Arial" w:cs="Arial"/>
          <w:b/>
          <w:sz w:val="22"/>
        </w:rPr>
        <w:br w:type="page"/>
      </w:r>
    </w:p>
    <w:p w:rsidR="00DB27B1" w:rsidRDefault="00DB27B1" w:rsidP="00DB27B1">
      <w:pPr>
        <w:ind w:firstLine="720"/>
        <w:jc w:val="both"/>
        <w:rPr>
          <w:rFonts w:ascii="Arial" w:hAnsi="Arial" w:cs="Arial"/>
          <w:sz w:val="22"/>
        </w:rPr>
      </w:pPr>
      <w:r>
        <w:rPr>
          <w:rFonts w:ascii="Arial" w:hAnsi="Arial" w:cs="Arial"/>
          <w:b/>
          <w:sz w:val="22"/>
        </w:rPr>
        <w:lastRenderedPageBreak/>
        <w:t>Связь</w:t>
      </w:r>
      <w:r>
        <w:rPr>
          <w:rFonts w:ascii="Arial" w:hAnsi="Arial" w:cs="Arial"/>
          <w:sz w:val="22"/>
        </w:rPr>
        <w:t xml:space="preserve"> – наиболее динамично развивающийся сектор экономики.</w:t>
      </w:r>
    </w:p>
    <w:p w:rsidR="00DB27B1" w:rsidRDefault="00DB27B1" w:rsidP="00DB27B1">
      <w:pPr>
        <w:ind w:firstLine="720"/>
        <w:jc w:val="both"/>
        <w:rPr>
          <w:rFonts w:ascii="Arial" w:hAnsi="Arial" w:cs="Arial"/>
          <w:sz w:val="22"/>
        </w:rPr>
      </w:pPr>
      <w:r>
        <w:rPr>
          <w:rFonts w:ascii="Arial" w:hAnsi="Arial" w:cs="Arial"/>
          <w:sz w:val="22"/>
        </w:rPr>
        <w:t>В настоящее время в области действует более 524 телефонных станции с емкостью 574,1 тыс. номеров. По сравнению с 1965 г</w:t>
      </w:r>
      <w:r>
        <w:rPr>
          <w:rFonts w:ascii="Arial" w:hAnsi="Arial" w:cs="Arial"/>
          <w:sz w:val="22"/>
        </w:rPr>
        <w:t>о</w:t>
      </w:r>
      <w:r>
        <w:rPr>
          <w:rFonts w:ascii="Arial" w:hAnsi="Arial" w:cs="Arial"/>
          <w:sz w:val="22"/>
        </w:rPr>
        <w:t xml:space="preserve">дом число телефонных станций увеличилось  в 2,4 раза. </w:t>
      </w:r>
    </w:p>
    <w:p w:rsidR="00DB27B1" w:rsidRDefault="00DB27B1" w:rsidP="00DB27B1">
      <w:pPr>
        <w:ind w:firstLine="720"/>
        <w:jc w:val="both"/>
        <w:rPr>
          <w:rFonts w:ascii="Arial" w:hAnsi="Arial" w:cs="Arial"/>
          <w:sz w:val="22"/>
        </w:rPr>
      </w:pPr>
      <w:r>
        <w:rPr>
          <w:rFonts w:ascii="Arial" w:hAnsi="Arial" w:cs="Arial"/>
          <w:sz w:val="22"/>
        </w:rPr>
        <w:t xml:space="preserve">На начало 2012 года в области насчитывалось более 387,5 тыс. телефонных аппаратов (включая таксофоны), подсоединенных к телефонной сети общего пользования или имеющих на нее выход. По сравнению с 1945 годом число аппаратов увеличилось в 92,3 раза. </w:t>
      </w:r>
    </w:p>
    <w:p w:rsidR="00DB27B1" w:rsidRPr="005825D0" w:rsidRDefault="00DB27B1" w:rsidP="00DB27B1">
      <w:pPr>
        <w:pStyle w:val="8"/>
        <w:rPr>
          <w:sz w:val="22"/>
          <w:vertAlign w:val="superscript"/>
        </w:rPr>
      </w:pPr>
      <w:r>
        <w:rPr>
          <w:sz w:val="22"/>
        </w:rPr>
        <w:t xml:space="preserve">НАЛИЧИЕ ТЕЛЕФОННЫХ АППАРАТОВ В УЛЬЯНОВСКОЙ ОБЛАСТИ </w:t>
      </w:r>
      <w:r>
        <w:rPr>
          <w:sz w:val="22"/>
          <w:vertAlign w:val="superscript"/>
        </w:rPr>
        <w:t>1)</w:t>
      </w:r>
    </w:p>
    <w:p w:rsidR="00DB27B1" w:rsidRDefault="00DB27B1" w:rsidP="00DB27B1">
      <w:pPr>
        <w:jc w:val="center"/>
        <w:rPr>
          <w:rFonts w:ascii="Arial" w:hAnsi="Arial" w:cs="Arial"/>
          <w:sz w:val="22"/>
          <w:lang w:val="ru-MO"/>
        </w:rPr>
      </w:pPr>
      <w:r>
        <w:rPr>
          <w:rFonts w:ascii="Arial" w:hAnsi="Arial" w:cs="Arial"/>
          <w:sz w:val="22"/>
        </w:rPr>
        <w:t>(на конец года; тыс. единиц)</w:t>
      </w:r>
    </w:p>
    <w:p w:rsidR="00DB27B1" w:rsidRDefault="00DB27B1" w:rsidP="00DB27B1">
      <w:pPr>
        <w:jc w:val="center"/>
        <w:rPr>
          <w:rFonts w:ascii="Arial" w:hAnsi="Arial" w:cs="Arial"/>
          <w:sz w:val="22"/>
          <w:lang w:val="ru-MO"/>
        </w:rPr>
      </w:pPr>
      <w:r>
        <w:rPr>
          <w:rFonts w:ascii="Arial" w:hAnsi="Arial" w:cs="Arial"/>
          <w:noProof/>
          <w:sz w:val="22"/>
        </w:rPr>
        <w:drawing>
          <wp:anchor distT="0" distB="0" distL="114300" distR="114300" simplePos="0" relativeHeight="251772928" behindDoc="0" locked="0" layoutInCell="1" allowOverlap="1">
            <wp:simplePos x="0" y="0"/>
            <wp:positionH relativeFrom="column">
              <wp:posOffset>156934</wp:posOffset>
            </wp:positionH>
            <wp:positionV relativeFrom="paragraph">
              <wp:posOffset>58553</wp:posOffset>
            </wp:positionV>
            <wp:extent cx="8937994" cy="2309480"/>
            <wp:effectExtent l="38100" t="19050" r="15506" b="0"/>
            <wp:wrapNone/>
            <wp:docPr id="60" name="Объект 1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rsidR="00DB27B1" w:rsidRDefault="00DB27B1" w:rsidP="00DB27B1">
      <w:pPr>
        <w:ind w:left="-284"/>
        <w:jc w:val="center"/>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rPr>
          <w:rFonts w:ascii="Arial" w:hAnsi="Arial" w:cs="Arial"/>
          <w:sz w:val="22"/>
        </w:rPr>
      </w:pPr>
    </w:p>
    <w:p w:rsidR="00DB27B1" w:rsidRDefault="00DB27B1" w:rsidP="00DB27B1">
      <w:pPr>
        <w:spacing w:before="120"/>
        <w:ind w:firstLine="720"/>
        <w:jc w:val="both"/>
        <w:rPr>
          <w:rFonts w:ascii="Arial" w:hAnsi="Arial" w:cs="Arial"/>
          <w:sz w:val="22"/>
          <w:lang w:val="ru-MO"/>
        </w:rPr>
      </w:pPr>
    </w:p>
    <w:p w:rsidR="00DB27B1" w:rsidRPr="003B6A97" w:rsidRDefault="00DB27B1" w:rsidP="00DB27B1">
      <w:pPr>
        <w:rPr>
          <w:rFonts w:ascii="Arial" w:hAnsi="Arial" w:cs="Arial"/>
          <w:sz w:val="22"/>
        </w:rPr>
      </w:pPr>
      <w:r>
        <w:rPr>
          <w:rFonts w:ascii="Arial" w:hAnsi="Arial" w:cs="Arial"/>
          <w:sz w:val="22"/>
          <w:vertAlign w:val="superscript"/>
        </w:rPr>
        <w:t>1)</w:t>
      </w:r>
      <w:r>
        <w:rPr>
          <w:rFonts w:ascii="Arial" w:hAnsi="Arial" w:cs="Arial"/>
          <w:sz w:val="22"/>
        </w:rPr>
        <w:t xml:space="preserve"> Включая таксофоны</w:t>
      </w:r>
    </w:p>
    <w:p w:rsidR="00DB27B1" w:rsidRPr="00E76A34" w:rsidRDefault="00DB27B1" w:rsidP="00DB27B1">
      <w:pPr>
        <w:spacing w:before="120"/>
        <w:ind w:firstLine="720"/>
        <w:jc w:val="both"/>
        <w:rPr>
          <w:rFonts w:ascii="Arial" w:hAnsi="Arial" w:cs="Arial"/>
          <w:sz w:val="22"/>
        </w:rPr>
      </w:pPr>
      <w:r>
        <w:rPr>
          <w:rFonts w:ascii="Arial" w:hAnsi="Arial" w:cs="Arial"/>
          <w:sz w:val="22"/>
        </w:rPr>
        <w:t>Проблема удовлетворения населения услугами телефонной связи решается за счет строительства новых АТС и расширения де</w:t>
      </w:r>
      <w:r>
        <w:rPr>
          <w:rFonts w:ascii="Arial" w:hAnsi="Arial" w:cs="Arial"/>
          <w:sz w:val="22"/>
        </w:rPr>
        <w:t>й</w:t>
      </w:r>
      <w:r>
        <w:rPr>
          <w:rFonts w:ascii="Arial" w:hAnsi="Arial" w:cs="Arial"/>
          <w:sz w:val="22"/>
        </w:rPr>
        <w:t xml:space="preserve">ствующих. Ввод новых мощностей позволяет переключать абонентов с морально устаревшего оборудования на </w:t>
      </w:r>
      <w:proofErr w:type="gramStart"/>
      <w:r>
        <w:rPr>
          <w:rFonts w:ascii="Arial" w:hAnsi="Arial" w:cs="Arial"/>
          <w:sz w:val="22"/>
        </w:rPr>
        <w:t>современное</w:t>
      </w:r>
      <w:proofErr w:type="gramEnd"/>
      <w:r>
        <w:rPr>
          <w:rFonts w:ascii="Arial" w:hAnsi="Arial" w:cs="Arial"/>
          <w:sz w:val="22"/>
        </w:rPr>
        <w:t xml:space="preserve">. За </w:t>
      </w:r>
      <w:proofErr w:type="gramStart"/>
      <w:r>
        <w:rPr>
          <w:rFonts w:ascii="Arial" w:hAnsi="Arial" w:cs="Arial"/>
          <w:sz w:val="22"/>
        </w:rPr>
        <w:t>п</w:t>
      </w:r>
      <w:r>
        <w:rPr>
          <w:rFonts w:ascii="Arial" w:hAnsi="Arial" w:cs="Arial"/>
          <w:sz w:val="22"/>
        </w:rPr>
        <w:t>о</w:t>
      </w:r>
      <w:r>
        <w:rPr>
          <w:rFonts w:ascii="Arial" w:hAnsi="Arial" w:cs="Arial"/>
          <w:sz w:val="22"/>
        </w:rPr>
        <w:t>следние</w:t>
      </w:r>
      <w:proofErr w:type="gramEnd"/>
      <w:r>
        <w:rPr>
          <w:rFonts w:ascii="Arial" w:hAnsi="Arial" w:cs="Arial"/>
          <w:sz w:val="22"/>
        </w:rPr>
        <w:t xml:space="preserve"> 10 лет число квартирных телефонных аппаратов увеличилось на 104,7 тыс. единиц или в 1,5 раза. </w:t>
      </w:r>
      <w:proofErr w:type="gramStart"/>
      <w:r>
        <w:rPr>
          <w:rFonts w:ascii="Arial" w:hAnsi="Arial" w:cs="Arial"/>
          <w:sz w:val="22"/>
        </w:rPr>
        <w:t>В результате по обеспече</w:t>
      </w:r>
      <w:r>
        <w:rPr>
          <w:rFonts w:ascii="Arial" w:hAnsi="Arial" w:cs="Arial"/>
          <w:sz w:val="22"/>
        </w:rPr>
        <w:t>н</w:t>
      </w:r>
      <w:r>
        <w:rPr>
          <w:rFonts w:ascii="Arial" w:hAnsi="Arial" w:cs="Arial"/>
          <w:sz w:val="22"/>
        </w:rPr>
        <w:t>ности квартирными телефонными аппаратами городского населения Ульяновская область среди регионов Приволжского федерального округа поднялась с предпоследнего на 2 место.</w:t>
      </w:r>
      <w:proofErr w:type="gramEnd"/>
      <w:r>
        <w:rPr>
          <w:rFonts w:ascii="Arial" w:hAnsi="Arial" w:cs="Arial"/>
          <w:sz w:val="22"/>
        </w:rPr>
        <w:t xml:space="preserve"> Обеспеченность телефонами сельского населения значительно ниже. В 2011 году по наличию квартирных телефонных аппаратов на 1000 человек сельского населения Ульяновская область занимала лишь 12 место среди регионов Приволжского федерального округа.</w:t>
      </w:r>
    </w:p>
    <w:p w:rsidR="00DB27B1" w:rsidRPr="003B6A97" w:rsidRDefault="00DB27B1" w:rsidP="00DB27B1">
      <w:pPr>
        <w:ind w:firstLine="720"/>
        <w:jc w:val="both"/>
        <w:rPr>
          <w:rFonts w:ascii="Arial" w:hAnsi="Arial" w:cs="Arial"/>
          <w:sz w:val="22"/>
        </w:rPr>
      </w:pPr>
      <w:r>
        <w:rPr>
          <w:rFonts w:ascii="Arial" w:hAnsi="Arial" w:cs="Arial"/>
          <w:sz w:val="22"/>
        </w:rPr>
        <w:t>Все более распространенной и востребованной на рынке услуг связи становится сотовая связь, которая предоставляет широкий спектр дополнительных услуг. Число абонентов сотовой связи составило на начало 2012 года 2114,9 тысячи (в 2000 году было 6,2 тыс</w:t>
      </w:r>
      <w:r>
        <w:rPr>
          <w:rFonts w:ascii="Arial" w:hAnsi="Arial" w:cs="Arial"/>
          <w:sz w:val="22"/>
        </w:rPr>
        <w:t>я</w:t>
      </w:r>
      <w:r>
        <w:rPr>
          <w:rFonts w:ascii="Arial" w:hAnsi="Arial" w:cs="Arial"/>
          <w:sz w:val="22"/>
        </w:rPr>
        <w:t>чи). Количество абонентов сотовой связи в 5,5 раза превысило число абонентов, имеющих стационарные телефоны. На 1000 человек населения области в 2011 году приходилось 1649,6 подключенных терминала сотовой связи (это 8-е место среди регионов ПФО).</w:t>
      </w:r>
    </w:p>
    <w:p w:rsidR="00DB27B1" w:rsidRDefault="00DB27B1" w:rsidP="00DB27B1">
      <w:pPr>
        <w:ind w:firstLine="720"/>
        <w:jc w:val="both"/>
        <w:rPr>
          <w:rFonts w:ascii="Arial" w:hAnsi="Arial" w:cs="Arial"/>
          <w:sz w:val="22"/>
        </w:rPr>
      </w:pPr>
      <w:r>
        <w:rPr>
          <w:rFonts w:ascii="Arial" w:hAnsi="Arial" w:cs="Arial"/>
          <w:sz w:val="22"/>
        </w:rPr>
        <w:t>Количество трансляционных радиоточек по сравнению с 1945 годом выросло на 31,8 тыс. единиц (в 2,1 раза), вместе с тем по сравнению с 1990 годом их число уменьшилось в 6,8 раза.</w:t>
      </w:r>
    </w:p>
    <w:p w:rsidR="00DB27B1" w:rsidRDefault="00DB27B1" w:rsidP="00DB27B1">
      <w:pPr>
        <w:ind w:firstLine="720"/>
        <w:jc w:val="both"/>
        <w:rPr>
          <w:rFonts w:ascii="Arial" w:hAnsi="Arial" w:cs="Arial"/>
          <w:sz w:val="22"/>
        </w:rPr>
      </w:pPr>
      <w:r>
        <w:rPr>
          <w:rFonts w:ascii="Arial" w:hAnsi="Arial" w:cs="Arial"/>
          <w:sz w:val="22"/>
        </w:rPr>
        <w:lastRenderedPageBreak/>
        <w:t>В последние годы значительно сократился объем основных услуг связи в натуральном выражении. В 2011 году меньше чем в 1950 году отправлено письменной корреспонденции на 17,6%, телеграмм – в 11,6 раза, посылок было отправлено меньше на 16,8%, к</w:t>
      </w:r>
      <w:r>
        <w:rPr>
          <w:rFonts w:ascii="Arial" w:hAnsi="Arial" w:cs="Arial"/>
          <w:sz w:val="22"/>
        </w:rPr>
        <w:t>о</w:t>
      </w:r>
      <w:r>
        <w:rPr>
          <w:rFonts w:ascii="Arial" w:hAnsi="Arial" w:cs="Arial"/>
          <w:sz w:val="22"/>
        </w:rPr>
        <w:t xml:space="preserve">личество междугородных телефонных разговоров сократилось </w:t>
      </w:r>
      <w:proofErr w:type="gramStart"/>
      <w:r>
        <w:rPr>
          <w:rFonts w:ascii="Arial" w:hAnsi="Arial" w:cs="Arial"/>
          <w:sz w:val="22"/>
        </w:rPr>
        <w:t>в</w:t>
      </w:r>
      <w:proofErr w:type="gramEnd"/>
      <w:r>
        <w:rPr>
          <w:rFonts w:ascii="Arial" w:hAnsi="Arial" w:cs="Arial"/>
          <w:sz w:val="22"/>
        </w:rPr>
        <w:t xml:space="preserve"> 1,8 раза.</w:t>
      </w:r>
    </w:p>
    <w:p w:rsidR="00DB27B1" w:rsidRPr="001925BB" w:rsidRDefault="00DB27B1" w:rsidP="00DB27B1">
      <w:pPr>
        <w:ind w:firstLine="720"/>
        <w:jc w:val="both"/>
        <w:rPr>
          <w:rFonts w:ascii="Arial" w:hAnsi="Arial" w:cs="Arial"/>
          <w:sz w:val="22"/>
        </w:rPr>
      </w:pPr>
      <w:r>
        <w:rPr>
          <w:rFonts w:ascii="Arial" w:hAnsi="Arial" w:cs="Arial"/>
          <w:sz w:val="22"/>
        </w:rPr>
        <w:t>Предприятия связи области постоянно проводят работу по развитию междугородной, международной телефонной  и докуме</w:t>
      </w:r>
      <w:r>
        <w:rPr>
          <w:rFonts w:ascii="Arial" w:hAnsi="Arial" w:cs="Arial"/>
          <w:sz w:val="22"/>
        </w:rPr>
        <w:t>н</w:t>
      </w:r>
      <w:r>
        <w:rPr>
          <w:rFonts w:ascii="Arial" w:hAnsi="Arial" w:cs="Arial"/>
          <w:sz w:val="22"/>
        </w:rPr>
        <w:t xml:space="preserve">тальной связи, расширяют комплекс новых видов услуг. Интенсивно развиваются службы передачи данных и </w:t>
      </w:r>
      <w:proofErr w:type="spellStart"/>
      <w:r>
        <w:rPr>
          <w:rFonts w:ascii="Arial" w:hAnsi="Arial" w:cs="Arial"/>
          <w:sz w:val="22"/>
        </w:rPr>
        <w:t>телематические</w:t>
      </w:r>
      <w:proofErr w:type="spellEnd"/>
      <w:r>
        <w:rPr>
          <w:rFonts w:ascii="Arial" w:hAnsi="Arial" w:cs="Arial"/>
          <w:sz w:val="22"/>
        </w:rPr>
        <w:t xml:space="preserve"> службы, предоставляющие услуги Интернет. </w:t>
      </w:r>
    </w:p>
    <w:p w:rsidR="007B7C75" w:rsidRDefault="007B7C75">
      <w:bookmarkStart w:id="28" w:name="_Toc309826897"/>
      <w:r>
        <w:br w:type="page"/>
      </w:r>
    </w:p>
    <w:p w:rsidR="0022238D" w:rsidRPr="004F2F3B" w:rsidRDefault="0022238D" w:rsidP="0022238D">
      <w:pPr>
        <w:pStyle w:val="1"/>
        <w:rPr>
          <w:color w:val="548DD4" w:themeColor="text2" w:themeTint="99"/>
        </w:rPr>
      </w:pPr>
      <w:bookmarkStart w:id="29" w:name="_Toc309826896"/>
      <w:r w:rsidRPr="004F2F3B">
        <w:rPr>
          <w:color w:val="548DD4" w:themeColor="text2" w:themeTint="99"/>
        </w:rPr>
        <w:lastRenderedPageBreak/>
        <w:t>ТОРГОВЛЯ</w:t>
      </w:r>
      <w:bookmarkEnd w:id="29"/>
    </w:p>
    <w:p w:rsidR="0022238D" w:rsidRDefault="0022238D" w:rsidP="0022238D">
      <w:pPr>
        <w:ind w:firstLine="720"/>
        <w:rPr>
          <w:rFonts w:ascii="Arial" w:hAnsi="Arial" w:cs="Arial"/>
          <w:sz w:val="22"/>
        </w:rPr>
      </w:pPr>
      <w:r>
        <w:rPr>
          <w:rFonts w:ascii="Arial" w:hAnsi="Arial" w:cs="Arial"/>
          <w:noProof/>
          <w:sz w:val="22"/>
        </w:rPr>
        <w:drawing>
          <wp:anchor distT="0" distB="0" distL="114300" distR="114300" simplePos="0" relativeHeight="251802624" behindDoc="0" locked="0" layoutInCell="1" allowOverlap="1">
            <wp:simplePos x="0" y="0"/>
            <wp:positionH relativeFrom="margin">
              <wp:posOffset>-53975</wp:posOffset>
            </wp:positionH>
            <wp:positionV relativeFrom="margin">
              <wp:posOffset>288925</wp:posOffset>
            </wp:positionV>
            <wp:extent cx="1437005" cy="1116330"/>
            <wp:effectExtent l="19050" t="0" r="0" b="0"/>
            <wp:wrapSquare wrapText="bothSides"/>
            <wp:docPr id="45" name="Рисунок 44" descr="торговл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рговля3.jpg"/>
                    <pic:cNvPicPr/>
                  </pic:nvPicPr>
                  <pic:blipFill>
                    <a:blip r:embed="rId56"/>
                    <a:stretch>
                      <a:fillRect/>
                    </a:stretch>
                  </pic:blipFill>
                  <pic:spPr>
                    <a:xfrm>
                      <a:off x="0" y="0"/>
                      <a:ext cx="1437005" cy="1116330"/>
                    </a:xfrm>
                    <a:prstGeom prst="rect">
                      <a:avLst/>
                    </a:prstGeom>
                    <a:ln>
                      <a:noFill/>
                    </a:ln>
                    <a:effectLst>
                      <a:softEdge rad="112500"/>
                    </a:effectLst>
                  </pic:spPr>
                </pic:pic>
              </a:graphicData>
            </a:graphic>
          </wp:anchor>
        </w:drawing>
      </w:r>
    </w:p>
    <w:p w:rsidR="0022238D" w:rsidRDefault="0022238D" w:rsidP="0022238D">
      <w:pPr>
        <w:jc w:val="both"/>
        <w:rPr>
          <w:rFonts w:ascii="Arial" w:hAnsi="Arial" w:cs="Arial"/>
          <w:sz w:val="22"/>
        </w:rPr>
      </w:pPr>
      <w:r>
        <w:rPr>
          <w:rFonts w:ascii="Arial" w:hAnsi="Arial" w:cs="Arial"/>
          <w:sz w:val="22"/>
        </w:rPr>
        <w:t>За период с 1945</w:t>
      </w:r>
      <w:r w:rsidR="00944523">
        <w:rPr>
          <w:rFonts w:ascii="Arial" w:hAnsi="Arial" w:cs="Arial"/>
          <w:sz w:val="22"/>
        </w:rPr>
        <w:t xml:space="preserve"> года </w:t>
      </w:r>
      <w:r>
        <w:rPr>
          <w:rFonts w:ascii="Arial" w:hAnsi="Arial" w:cs="Arial"/>
          <w:sz w:val="22"/>
        </w:rPr>
        <w:t>по 1990 года</w:t>
      </w:r>
      <w:proofErr w:type="gramStart"/>
      <w:r>
        <w:rPr>
          <w:rFonts w:ascii="Arial" w:hAnsi="Arial" w:cs="Arial"/>
          <w:sz w:val="22"/>
        </w:rPr>
        <w:t>.</w:t>
      </w:r>
      <w:proofErr w:type="gramEnd"/>
      <w:r>
        <w:rPr>
          <w:rFonts w:ascii="Arial" w:hAnsi="Arial" w:cs="Arial"/>
          <w:sz w:val="22"/>
        </w:rPr>
        <w:t xml:space="preserve"> </w:t>
      </w:r>
      <w:proofErr w:type="gramStart"/>
      <w:r>
        <w:rPr>
          <w:rFonts w:ascii="Arial" w:hAnsi="Arial" w:cs="Arial"/>
          <w:sz w:val="22"/>
        </w:rPr>
        <w:t>н</w:t>
      </w:r>
      <w:proofErr w:type="gramEnd"/>
      <w:r>
        <w:rPr>
          <w:rFonts w:ascii="Arial" w:hAnsi="Arial" w:cs="Arial"/>
          <w:sz w:val="22"/>
        </w:rPr>
        <w:t>аличие сети розничной торговли в крупных и средних предприятиях области возросло с 1847 до 3611</w:t>
      </w:r>
      <w:r w:rsidR="007A2F6E">
        <w:rPr>
          <w:rFonts w:ascii="Arial" w:hAnsi="Arial" w:cs="Arial"/>
          <w:sz w:val="22"/>
        </w:rPr>
        <w:t xml:space="preserve"> </w:t>
      </w:r>
      <w:r>
        <w:rPr>
          <w:rFonts w:ascii="Arial" w:hAnsi="Arial" w:cs="Arial"/>
          <w:sz w:val="22"/>
        </w:rPr>
        <w:t xml:space="preserve">предприятий. С началом экономических реформ в экономике наблюдался их заметный спад: в 2010 г. действовало 798 предприятий розничной торговли, 75,1% которых составили магазины, 23,9% – палатки, киоски, 1,0% – павильоны. </w:t>
      </w:r>
    </w:p>
    <w:p w:rsidR="0022238D" w:rsidRDefault="0022238D" w:rsidP="0022238D">
      <w:pPr>
        <w:jc w:val="both"/>
        <w:rPr>
          <w:rFonts w:ascii="Arial" w:hAnsi="Arial" w:cs="Arial"/>
          <w:sz w:val="22"/>
        </w:rPr>
      </w:pPr>
      <w:r>
        <w:rPr>
          <w:rFonts w:ascii="Arial" w:hAnsi="Arial" w:cs="Arial"/>
          <w:sz w:val="22"/>
        </w:rPr>
        <w:t xml:space="preserve">В сфере общественного питания в 1945г. действовало 361 предприятие, их число к концу 1950г. выросло на 234 единицы, а, начиная с 1960г., в течение трех десятилеток, сеть предприятий общественного питания возросла на 979 единиц и достигла к концу 1990г. 1629 единиц. В преобладающей степени в сфере общественного питания функционировали столовые, рестораны  и чайные, удельный вес которых находился в пределах от 50,2% до 74,5%, кроме 1950г. и 1960г., когда этот показатель составлял соответственно 34,6% и 40,9%. </w:t>
      </w:r>
    </w:p>
    <w:p w:rsidR="0022238D" w:rsidRDefault="0022238D" w:rsidP="0022238D">
      <w:pPr>
        <w:pStyle w:val="8"/>
        <w:rPr>
          <w:b w:val="0"/>
          <w:bCs w:val="0"/>
          <w:sz w:val="22"/>
        </w:rPr>
      </w:pPr>
      <w:r>
        <w:rPr>
          <w:sz w:val="22"/>
        </w:rPr>
        <w:t>УДЕЛЬНЫЙ ВЕС ГОСУДАРСТВЕННОЙ ТОРГОВЛИ В ОБОРОТЕ РОЗНИЧНОЙ ТОРГОВЛИ И ОБОРОТЕ ОБЩЕСТВЕННОГО ПИТАНИЯ</w:t>
      </w:r>
    </w:p>
    <w:p w:rsidR="0022238D" w:rsidRDefault="0022238D" w:rsidP="0022238D">
      <w:pPr>
        <w:pStyle w:val="aa"/>
        <w:spacing w:line="240" w:lineRule="auto"/>
        <w:rPr>
          <w:rFonts w:cs="Arial"/>
          <w:sz w:val="22"/>
        </w:rPr>
      </w:pPr>
      <w:r>
        <w:rPr>
          <w:noProof/>
          <w:sz w:val="22"/>
        </w:rPr>
        <w:drawing>
          <wp:anchor distT="0" distB="0" distL="114300" distR="114300" simplePos="0" relativeHeight="251799552" behindDoc="0" locked="0" layoutInCell="1" allowOverlap="1">
            <wp:simplePos x="0" y="0"/>
            <wp:positionH relativeFrom="column">
              <wp:posOffset>14605</wp:posOffset>
            </wp:positionH>
            <wp:positionV relativeFrom="paragraph">
              <wp:posOffset>206375</wp:posOffset>
            </wp:positionV>
            <wp:extent cx="9016365" cy="3125470"/>
            <wp:effectExtent l="38100" t="19050" r="13335" b="0"/>
            <wp:wrapTopAndBottom/>
            <wp:docPr id="15" name="Объект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p>
    <w:p w:rsidR="0022238D" w:rsidRDefault="0022238D" w:rsidP="0022238D">
      <w:pPr>
        <w:ind w:firstLine="720"/>
        <w:rPr>
          <w:rFonts w:ascii="Arial" w:hAnsi="Arial" w:cs="Arial"/>
          <w:sz w:val="22"/>
        </w:rPr>
      </w:pPr>
    </w:p>
    <w:p w:rsidR="0022238D" w:rsidRDefault="0022238D" w:rsidP="0022238D">
      <w:pPr>
        <w:ind w:firstLine="720"/>
        <w:jc w:val="both"/>
        <w:rPr>
          <w:rFonts w:ascii="Arial" w:hAnsi="Arial" w:cs="Arial"/>
          <w:sz w:val="22"/>
        </w:rPr>
      </w:pPr>
      <w:r>
        <w:rPr>
          <w:rFonts w:ascii="Arial" w:hAnsi="Arial" w:cs="Arial"/>
          <w:sz w:val="22"/>
        </w:rPr>
        <w:t xml:space="preserve">Начиная с 1990г., отмечено резкое уменьшение сети общественного питания в крупных и средних предприятиях отрасли: с 1629 единиц до 128 единиц </w:t>
      </w:r>
      <w:proofErr w:type="gramStart"/>
      <w:r>
        <w:rPr>
          <w:rFonts w:ascii="Arial" w:hAnsi="Arial" w:cs="Arial"/>
          <w:sz w:val="22"/>
        </w:rPr>
        <w:t>на конец</w:t>
      </w:r>
      <w:proofErr w:type="gramEnd"/>
      <w:r>
        <w:rPr>
          <w:rFonts w:ascii="Arial" w:hAnsi="Arial" w:cs="Arial"/>
          <w:sz w:val="22"/>
        </w:rPr>
        <w:t xml:space="preserve"> 2010г. или в 12,7 раза.</w:t>
      </w:r>
    </w:p>
    <w:p w:rsidR="0022238D" w:rsidRDefault="0022238D" w:rsidP="0022238D">
      <w:pPr>
        <w:ind w:firstLine="720"/>
        <w:jc w:val="both"/>
        <w:rPr>
          <w:rFonts w:ascii="Arial" w:hAnsi="Arial" w:cs="Arial"/>
          <w:sz w:val="22"/>
        </w:rPr>
      </w:pPr>
      <w:r>
        <w:rPr>
          <w:rFonts w:ascii="Arial" w:hAnsi="Arial" w:cs="Arial"/>
          <w:sz w:val="22"/>
        </w:rPr>
        <w:t>Такое явление объясняется развитием малого предпринимательства и расширением деятельности индивидуальных предприн</w:t>
      </w:r>
      <w:r>
        <w:rPr>
          <w:rFonts w:ascii="Arial" w:hAnsi="Arial" w:cs="Arial"/>
          <w:sz w:val="22"/>
        </w:rPr>
        <w:t>и</w:t>
      </w:r>
      <w:r>
        <w:rPr>
          <w:rFonts w:ascii="Arial" w:hAnsi="Arial" w:cs="Arial"/>
          <w:sz w:val="22"/>
        </w:rPr>
        <w:t>мателей.</w:t>
      </w:r>
    </w:p>
    <w:p w:rsidR="0022238D" w:rsidRDefault="0022238D" w:rsidP="0022238D">
      <w:pPr>
        <w:ind w:firstLine="720"/>
        <w:jc w:val="both"/>
        <w:rPr>
          <w:rFonts w:ascii="Arial" w:hAnsi="Arial" w:cs="Arial"/>
          <w:sz w:val="22"/>
        </w:rPr>
      </w:pPr>
      <w:r>
        <w:rPr>
          <w:rFonts w:ascii="Arial" w:hAnsi="Arial" w:cs="Arial"/>
          <w:sz w:val="22"/>
        </w:rPr>
        <w:lastRenderedPageBreak/>
        <w:t>Параллельно с этим процессом происходит сокращение государственного сектора. Если в период с 1945г. по 1990г. госуда</w:t>
      </w:r>
      <w:r>
        <w:rPr>
          <w:rFonts w:ascii="Arial" w:hAnsi="Arial" w:cs="Arial"/>
          <w:sz w:val="22"/>
        </w:rPr>
        <w:t>р</w:t>
      </w:r>
      <w:r>
        <w:rPr>
          <w:rFonts w:ascii="Arial" w:hAnsi="Arial" w:cs="Arial"/>
          <w:sz w:val="22"/>
        </w:rPr>
        <w:t>ственная торговля обеспечивала от 48,5 до 60,5% розничного товарооборота, включая товарооборот общественного питания, то, нач</w:t>
      </w:r>
      <w:r>
        <w:rPr>
          <w:rFonts w:ascii="Arial" w:hAnsi="Arial" w:cs="Arial"/>
          <w:sz w:val="22"/>
        </w:rPr>
        <w:t>и</w:t>
      </w:r>
      <w:r>
        <w:rPr>
          <w:rFonts w:ascii="Arial" w:hAnsi="Arial" w:cs="Arial"/>
          <w:sz w:val="22"/>
        </w:rPr>
        <w:t>ная с 1991г</w:t>
      </w:r>
      <w:r>
        <w:rPr>
          <w:rStyle w:val="af1"/>
          <w:rFonts w:ascii="Arial" w:hAnsi="Arial" w:cs="Arial"/>
          <w:sz w:val="22"/>
        </w:rPr>
        <w:footnoteReference w:customMarkFollows="1" w:id="1"/>
        <w:t>1)</w:t>
      </w:r>
      <w:r>
        <w:rPr>
          <w:rFonts w:ascii="Arial" w:hAnsi="Arial" w:cs="Arial"/>
          <w:sz w:val="22"/>
        </w:rPr>
        <w:t xml:space="preserve">., ее доля без учета оборота общественного питания постоянно снижалась, и </w:t>
      </w:r>
      <w:proofErr w:type="gramStart"/>
      <w:r>
        <w:rPr>
          <w:rFonts w:ascii="Arial" w:hAnsi="Arial" w:cs="Arial"/>
          <w:sz w:val="22"/>
        </w:rPr>
        <w:t>в</w:t>
      </w:r>
      <w:proofErr w:type="gramEnd"/>
      <w:r>
        <w:rPr>
          <w:rFonts w:ascii="Arial" w:hAnsi="Arial" w:cs="Arial"/>
          <w:sz w:val="22"/>
        </w:rPr>
        <w:t xml:space="preserve"> 2011г. составила лишь 1,3%.</w:t>
      </w:r>
    </w:p>
    <w:p w:rsidR="0022238D" w:rsidRDefault="0022238D" w:rsidP="0022238D">
      <w:pPr>
        <w:ind w:firstLine="720"/>
        <w:jc w:val="both"/>
        <w:rPr>
          <w:rFonts w:ascii="Arial" w:hAnsi="Arial" w:cs="Arial"/>
          <w:sz w:val="22"/>
        </w:rPr>
      </w:pPr>
      <w:r>
        <w:rPr>
          <w:rFonts w:ascii="Arial" w:hAnsi="Arial" w:cs="Arial"/>
          <w:sz w:val="22"/>
        </w:rPr>
        <w:t>Аналогичные явления были характерны и для сферы общественного питания, хотя доля предприятий государственной собстве</w:t>
      </w:r>
      <w:r>
        <w:rPr>
          <w:rFonts w:ascii="Arial" w:hAnsi="Arial" w:cs="Arial"/>
          <w:sz w:val="22"/>
        </w:rPr>
        <w:t>н</w:t>
      </w:r>
      <w:r>
        <w:rPr>
          <w:rFonts w:ascii="Arial" w:hAnsi="Arial" w:cs="Arial"/>
          <w:sz w:val="22"/>
        </w:rPr>
        <w:t>ности здесь заметно выше.</w:t>
      </w:r>
    </w:p>
    <w:p w:rsidR="0022238D" w:rsidRDefault="0022238D" w:rsidP="0022238D">
      <w:pPr>
        <w:ind w:firstLine="720"/>
        <w:jc w:val="both"/>
        <w:rPr>
          <w:rFonts w:ascii="Arial" w:hAnsi="Arial" w:cs="Arial"/>
          <w:sz w:val="22"/>
        </w:rPr>
      </w:pPr>
      <w:r>
        <w:rPr>
          <w:rFonts w:ascii="Arial" w:hAnsi="Arial" w:cs="Arial"/>
          <w:sz w:val="22"/>
        </w:rPr>
        <w:t>Розничная торговля до 1990г. развивалась достаточно динамично. Наибольший среднегодовой темп прироста розничного товар</w:t>
      </w:r>
      <w:r>
        <w:rPr>
          <w:rFonts w:ascii="Arial" w:hAnsi="Arial" w:cs="Arial"/>
          <w:sz w:val="22"/>
        </w:rPr>
        <w:t>о</w:t>
      </w:r>
      <w:r>
        <w:rPr>
          <w:rFonts w:ascii="Arial" w:hAnsi="Arial" w:cs="Arial"/>
          <w:sz w:val="22"/>
        </w:rPr>
        <w:t xml:space="preserve">оборота по области (включая общественное питание) приходился на период с 1960г. по 1970г. – 8,7%, в следующем десятилетии этот показатель составил 4,7%, с 1980г. по 1990г. – 5,0%, товарооборот общественного питания – соответственно 7,5%, 4,5% и 3,3%. </w:t>
      </w:r>
    </w:p>
    <w:p w:rsidR="0022238D" w:rsidRDefault="0022238D" w:rsidP="0022238D">
      <w:pPr>
        <w:pStyle w:val="aa"/>
        <w:spacing w:line="240" w:lineRule="auto"/>
        <w:ind w:firstLine="720"/>
        <w:rPr>
          <w:rFonts w:cs="Arial"/>
          <w:sz w:val="22"/>
        </w:rPr>
      </w:pPr>
      <w:r>
        <w:rPr>
          <w:rFonts w:cs="Arial"/>
          <w:sz w:val="22"/>
        </w:rPr>
        <w:t>С началом экономических реформ индекс физического объема оборота розничной торговли к 1990г. ежегодно в той или иной м</w:t>
      </w:r>
      <w:r>
        <w:rPr>
          <w:rFonts w:cs="Arial"/>
          <w:sz w:val="22"/>
        </w:rPr>
        <w:t>е</w:t>
      </w:r>
      <w:r>
        <w:rPr>
          <w:rFonts w:cs="Arial"/>
          <w:sz w:val="22"/>
        </w:rPr>
        <w:t>ре снижался вплоть до 2002 года, а в последние семь лет этот показатель увеличился, хотя в 2008г. темпы роста значительно замедл</w:t>
      </w:r>
      <w:r>
        <w:rPr>
          <w:rFonts w:cs="Arial"/>
          <w:sz w:val="22"/>
        </w:rPr>
        <w:t>и</w:t>
      </w:r>
      <w:r>
        <w:rPr>
          <w:rFonts w:cs="Arial"/>
          <w:sz w:val="22"/>
        </w:rPr>
        <w:t>лись. За 2011г. индекс физического объёма к предыдущему году составил 101,7%.</w:t>
      </w:r>
    </w:p>
    <w:p w:rsidR="0022238D" w:rsidRDefault="0022238D" w:rsidP="0022238D">
      <w:pPr>
        <w:pStyle w:val="8"/>
        <w:rPr>
          <w:sz w:val="22"/>
        </w:rPr>
      </w:pPr>
      <w:r>
        <w:rPr>
          <w:sz w:val="22"/>
        </w:rPr>
        <w:t>ИНДЕКСЫ ФИЗИЧЕСКОГО ОБЪЕМА ОБОРОТА РОЗНИЧНОЙ ТОРГОВЛИ</w:t>
      </w:r>
    </w:p>
    <w:p w:rsidR="0022238D" w:rsidRDefault="0022238D" w:rsidP="0022238D">
      <w:pPr>
        <w:spacing w:after="120"/>
        <w:jc w:val="center"/>
        <w:rPr>
          <w:rFonts w:ascii="Arial" w:hAnsi="Arial" w:cs="Arial"/>
          <w:sz w:val="22"/>
        </w:rPr>
      </w:pPr>
      <w:r>
        <w:rPr>
          <w:rFonts w:ascii="Arial" w:hAnsi="Arial" w:cs="Arial"/>
          <w:noProof/>
          <w:sz w:val="22"/>
        </w:rPr>
        <w:drawing>
          <wp:anchor distT="0" distB="0" distL="114300" distR="114300" simplePos="0" relativeHeight="251800576" behindDoc="0" locked="0" layoutInCell="1" allowOverlap="1">
            <wp:simplePos x="0" y="0"/>
            <wp:positionH relativeFrom="column">
              <wp:posOffset>-1905</wp:posOffset>
            </wp:positionH>
            <wp:positionV relativeFrom="paragraph">
              <wp:posOffset>381635</wp:posOffset>
            </wp:positionV>
            <wp:extent cx="8996680" cy="3340100"/>
            <wp:effectExtent l="38100" t="19050" r="13970" b="0"/>
            <wp:wrapTopAndBottom/>
            <wp:docPr id="16" name="Объект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r>
        <w:rPr>
          <w:rFonts w:ascii="Arial" w:hAnsi="Arial" w:cs="Arial"/>
          <w:sz w:val="22"/>
        </w:rPr>
        <w:t>(в процентах к 1990г. и к предыдущему году)</w:t>
      </w:r>
    </w:p>
    <w:p w:rsidR="0022238D" w:rsidRDefault="0022238D" w:rsidP="0022238D">
      <w:pPr>
        <w:pStyle w:val="8"/>
        <w:rPr>
          <w:sz w:val="22"/>
        </w:rPr>
      </w:pPr>
      <w:r>
        <w:rPr>
          <w:sz w:val="22"/>
        </w:rPr>
        <w:lastRenderedPageBreak/>
        <w:t xml:space="preserve">ИНДЕКСЫ ФИЗИЧЕСКОГО ОБЪЕМА ОБОРОТА </w:t>
      </w:r>
      <w:r>
        <w:rPr>
          <w:sz w:val="22"/>
        </w:rPr>
        <w:br/>
        <w:t xml:space="preserve">ОБЩЕСТВЕННОГО ПИТАНИЯ </w:t>
      </w:r>
    </w:p>
    <w:p w:rsidR="0022238D" w:rsidRDefault="0022238D" w:rsidP="0022238D">
      <w:pPr>
        <w:spacing w:after="120"/>
        <w:jc w:val="center"/>
        <w:rPr>
          <w:rFonts w:ascii="Arial" w:hAnsi="Arial" w:cs="Arial"/>
          <w:sz w:val="22"/>
        </w:rPr>
      </w:pPr>
      <w:r>
        <w:rPr>
          <w:rFonts w:ascii="Arial" w:hAnsi="Arial" w:cs="Arial"/>
          <w:sz w:val="22"/>
        </w:rPr>
        <w:t>(в процентах к предыдущему году)</w:t>
      </w:r>
    </w:p>
    <w:p w:rsidR="0022238D" w:rsidRDefault="0022238D" w:rsidP="0022238D">
      <w:pPr>
        <w:spacing w:after="120"/>
        <w:ind w:firstLine="720"/>
        <w:rPr>
          <w:rFonts w:ascii="Arial" w:hAnsi="Arial" w:cs="Arial"/>
          <w:sz w:val="22"/>
        </w:rPr>
      </w:pPr>
      <w:r>
        <w:rPr>
          <w:rFonts w:ascii="Arial" w:hAnsi="Arial" w:cs="Arial"/>
          <w:noProof/>
          <w:sz w:val="22"/>
        </w:rPr>
        <w:drawing>
          <wp:anchor distT="0" distB="0" distL="114300" distR="114300" simplePos="0" relativeHeight="251801600" behindDoc="0" locked="0" layoutInCell="1" allowOverlap="1">
            <wp:simplePos x="0" y="0"/>
            <wp:positionH relativeFrom="column">
              <wp:posOffset>29344</wp:posOffset>
            </wp:positionH>
            <wp:positionV relativeFrom="paragraph">
              <wp:posOffset>97776</wp:posOffset>
            </wp:positionV>
            <wp:extent cx="8870551" cy="3576497"/>
            <wp:effectExtent l="38100" t="19050" r="25799" b="4903"/>
            <wp:wrapNone/>
            <wp:docPr id="17" name="Объект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spacing w:after="120"/>
        <w:ind w:firstLine="720"/>
        <w:rPr>
          <w:rFonts w:ascii="Arial" w:hAnsi="Arial"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p>
    <w:p w:rsidR="0022238D" w:rsidRDefault="0022238D" w:rsidP="0022238D">
      <w:pPr>
        <w:pStyle w:val="22"/>
        <w:spacing w:line="240" w:lineRule="auto"/>
        <w:rPr>
          <w:rFonts w:cs="Arial"/>
          <w:sz w:val="22"/>
        </w:rPr>
      </w:pPr>
      <w:r>
        <w:rPr>
          <w:rFonts w:cs="Arial"/>
          <w:sz w:val="22"/>
        </w:rPr>
        <w:t>В структуре оборота розничной торговли до 1990г. преобладали продовольственные товары, а затем до 2008г. – непродовол</w:t>
      </w:r>
      <w:r>
        <w:rPr>
          <w:rFonts w:cs="Arial"/>
          <w:sz w:val="22"/>
        </w:rPr>
        <w:t>ь</w:t>
      </w:r>
      <w:r>
        <w:rPr>
          <w:rFonts w:cs="Arial"/>
          <w:sz w:val="22"/>
        </w:rPr>
        <w:t>ственные товары. Удельный вес непродовольственных товаров за этот период находился в пределах 56,0 – 61,0%. В 2011г. удельный вес пищевых продуктов, включая напитки, и табачных изделий составил 50,5%.</w:t>
      </w:r>
    </w:p>
    <w:p w:rsidR="0022238D" w:rsidRDefault="0022238D" w:rsidP="0022238D">
      <w:pPr>
        <w:pStyle w:val="1"/>
        <w:rPr>
          <w:rFonts w:cs="Arial"/>
          <w:color w:val="FF0000"/>
          <w:sz w:val="22"/>
        </w:rPr>
      </w:pPr>
    </w:p>
    <w:p w:rsidR="0022238D" w:rsidRPr="0022238D" w:rsidRDefault="0022238D" w:rsidP="0022238D">
      <w:pPr>
        <w:rPr>
          <w:rFonts w:ascii="Arial" w:hAnsi="Arial" w:cs="Arial"/>
          <w:color w:val="FF0000"/>
          <w:sz w:val="22"/>
        </w:rPr>
      </w:pPr>
    </w:p>
    <w:p w:rsidR="0022238D" w:rsidRPr="0022238D" w:rsidRDefault="0022238D" w:rsidP="0022238D">
      <w:pPr>
        <w:rPr>
          <w:rFonts w:ascii="Arial" w:hAnsi="Arial" w:cs="Arial"/>
          <w:color w:val="FF0000"/>
          <w:sz w:val="22"/>
        </w:rPr>
      </w:pPr>
    </w:p>
    <w:p w:rsidR="0022238D" w:rsidRPr="0022238D" w:rsidRDefault="0022238D" w:rsidP="0022238D">
      <w:pPr>
        <w:rPr>
          <w:rFonts w:ascii="Arial" w:hAnsi="Arial" w:cs="Arial"/>
          <w:color w:val="FF0000"/>
          <w:sz w:val="22"/>
        </w:rPr>
      </w:pPr>
    </w:p>
    <w:p w:rsidR="0022238D" w:rsidRPr="0022238D" w:rsidRDefault="0022238D" w:rsidP="0022238D">
      <w:pPr>
        <w:rPr>
          <w:rFonts w:ascii="Arial" w:hAnsi="Arial" w:cs="Arial"/>
          <w:color w:val="FF0000"/>
          <w:sz w:val="22"/>
        </w:rPr>
      </w:pPr>
    </w:p>
    <w:p w:rsidR="0022238D" w:rsidRDefault="0022238D">
      <w:pPr>
        <w:rPr>
          <w:rFonts w:ascii="Arial" w:hAnsi="Arial" w:cs="Arial"/>
          <w:b/>
          <w:caps/>
          <w:color w:val="000000" w:themeColor="text1"/>
          <w:sz w:val="22"/>
        </w:rPr>
      </w:pPr>
      <w:r>
        <w:rPr>
          <w:rFonts w:ascii="Arial" w:hAnsi="Arial" w:cs="Arial"/>
          <w:b/>
          <w:caps/>
          <w:color w:val="000000" w:themeColor="text1"/>
          <w:sz w:val="22"/>
        </w:rPr>
        <w:br w:type="page"/>
      </w:r>
    </w:p>
    <w:p w:rsidR="0022238D" w:rsidRPr="000058DA" w:rsidRDefault="0022238D" w:rsidP="0022238D">
      <w:pPr>
        <w:jc w:val="center"/>
        <w:rPr>
          <w:rFonts w:ascii="Arial" w:hAnsi="Arial" w:cs="Arial"/>
          <w:b/>
          <w:caps/>
          <w:color w:val="000000" w:themeColor="text1"/>
          <w:sz w:val="22"/>
        </w:rPr>
      </w:pPr>
      <w:r w:rsidRPr="000058DA">
        <w:rPr>
          <w:rFonts w:ascii="Arial" w:hAnsi="Arial" w:cs="Arial"/>
          <w:b/>
          <w:caps/>
          <w:color w:val="000000" w:themeColor="text1"/>
          <w:sz w:val="22"/>
        </w:rPr>
        <w:lastRenderedPageBreak/>
        <w:t>Оборот розничной торговли и общественного питания</w:t>
      </w:r>
    </w:p>
    <w:p w:rsidR="0022238D" w:rsidRPr="0022238D" w:rsidRDefault="0022238D" w:rsidP="0022238D">
      <w:pPr>
        <w:spacing w:after="120"/>
        <w:jc w:val="center"/>
        <w:rPr>
          <w:rFonts w:ascii="Arial" w:hAnsi="Arial" w:cs="Arial"/>
          <w:color w:val="000000" w:themeColor="text1"/>
          <w:sz w:val="22"/>
        </w:rPr>
      </w:pPr>
      <w:r>
        <w:rPr>
          <w:rFonts w:ascii="Arial" w:hAnsi="Arial" w:cs="Arial"/>
          <w:color w:val="000000" w:themeColor="text1"/>
          <w:sz w:val="22"/>
        </w:rPr>
        <w:t>(м</w:t>
      </w:r>
      <w:r w:rsidRPr="005D20E0">
        <w:rPr>
          <w:rFonts w:ascii="Arial" w:hAnsi="Arial" w:cs="Arial"/>
          <w:color w:val="000000" w:themeColor="text1"/>
          <w:sz w:val="22"/>
        </w:rPr>
        <w:t>лн. рублей</w:t>
      </w:r>
      <w:r>
        <w:rPr>
          <w:rFonts w:ascii="Arial" w:hAnsi="Arial" w:cs="Arial"/>
          <w:color w:val="000000" w:themeColor="text1"/>
          <w:sz w:val="22"/>
        </w:rPr>
        <w:t>)</w:t>
      </w:r>
    </w:p>
    <w:tbl>
      <w:tblPr>
        <w:tblStyle w:val="afc"/>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936"/>
        <w:gridCol w:w="1275"/>
        <w:gridCol w:w="1276"/>
        <w:gridCol w:w="1276"/>
        <w:gridCol w:w="1417"/>
        <w:gridCol w:w="1418"/>
        <w:gridCol w:w="1417"/>
        <w:gridCol w:w="1276"/>
        <w:gridCol w:w="1213"/>
      </w:tblGrid>
      <w:tr w:rsidR="0022238D" w:rsidRPr="00B02E51" w:rsidTr="0022238D">
        <w:tc>
          <w:tcPr>
            <w:tcW w:w="3936" w:type="dxa"/>
            <w:shd w:val="clear" w:color="auto" w:fill="C6D9F1" w:themeFill="text2" w:themeFillTint="33"/>
          </w:tcPr>
          <w:p w:rsidR="0022238D" w:rsidRPr="00B02E51" w:rsidRDefault="0022238D" w:rsidP="0022238D">
            <w:pPr>
              <w:spacing w:before="120" w:after="120"/>
              <w:rPr>
                <w:rFonts w:ascii="Arial" w:hAnsi="Arial" w:cs="Arial"/>
                <w:color w:val="FF0000"/>
                <w:sz w:val="18"/>
                <w:szCs w:val="18"/>
              </w:rPr>
            </w:pPr>
          </w:p>
        </w:tc>
        <w:tc>
          <w:tcPr>
            <w:tcW w:w="1275"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2000</w:t>
            </w:r>
          </w:p>
        </w:tc>
        <w:tc>
          <w:tcPr>
            <w:tcW w:w="1276"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2005</w:t>
            </w:r>
          </w:p>
        </w:tc>
        <w:tc>
          <w:tcPr>
            <w:tcW w:w="1276"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2006</w:t>
            </w:r>
          </w:p>
        </w:tc>
        <w:tc>
          <w:tcPr>
            <w:tcW w:w="1417"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2007</w:t>
            </w:r>
          </w:p>
        </w:tc>
        <w:tc>
          <w:tcPr>
            <w:tcW w:w="1418"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2008</w:t>
            </w:r>
          </w:p>
        </w:tc>
        <w:tc>
          <w:tcPr>
            <w:tcW w:w="1417"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2009</w:t>
            </w:r>
          </w:p>
        </w:tc>
        <w:tc>
          <w:tcPr>
            <w:tcW w:w="1276"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2010</w:t>
            </w:r>
          </w:p>
        </w:tc>
        <w:tc>
          <w:tcPr>
            <w:tcW w:w="1213" w:type="dxa"/>
            <w:shd w:val="clear" w:color="auto" w:fill="C6D9F1" w:themeFill="text2" w:themeFillTint="33"/>
          </w:tcPr>
          <w:p w:rsidR="0022238D" w:rsidRPr="00B02E51" w:rsidRDefault="0022238D" w:rsidP="0022238D">
            <w:pPr>
              <w:spacing w:before="120" w:after="120"/>
              <w:jc w:val="center"/>
              <w:rPr>
                <w:rFonts w:ascii="Arial" w:hAnsi="Arial" w:cs="Arial"/>
                <w:color w:val="000000" w:themeColor="text1"/>
                <w:sz w:val="18"/>
                <w:szCs w:val="18"/>
              </w:rPr>
            </w:pPr>
            <w:r w:rsidRPr="00B02E51">
              <w:rPr>
                <w:rFonts w:ascii="Arial" w:hAnsi="Arial" w:cs="Arial"/>
                <w:color w:val="000000" w:themeColor="text1"/>
                <w:sz w:val="18"/>
                <w:szCs w:val="18"/>
              </w:rPr>
              <w:t>2011</w:t>
            </w:r>
          </w:p>
        </w:tc>
      </w:tr>
      <w:tr w:rsidR="0022238D" w:rsidRPr="00B02E51" w:rsidTr="0022238D">
        <w:tc>
          <w:tcPr>
            <w:tcW w:w="3936" w:type="dxa"/>
          </w:tcPr>
          <w:p w:rsidR="0022238D" w:rsidRPr="00B02E51" w:rsidRDefault="0022238D" w:rsidP="0022238D">
            <w:pPr>
              <w:spacing w:before="120" w:after="120"/>
              <w:rPr>
                <w:rFonts w:ascii="Arial" w:hAnsi="Arial" w:cs="Arial"/>
                <w:color w:val="000000" w:themeColor="text1"/>
                <w:sz w:val="18"/>
                <w:szCs w:val="18"/>
              </w:rPr>
            </w:pPr>
            <w:r w:rsidRPr="00B02E51">
              <w:rPr>
                <w:rFonts w:ascii="Arial" w:hAnsi="Arial" w:cs="Arial"/>
                <w:color w:val="000000" w:themeColor="text1"/>
                <w:sz w:val="18"/>
                <w:szCs w:val="18"/>
              </w:rPr>
              <w:t>Оборот розничной торговли</w:t>
            </w:r>
          </w:p>
        </w:tc>
        <w:tc>
          <w:tcPr>
            <w:tcW w:w="1275"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14215,9</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40630,9</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53982,6</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71211,9</w:t>
            </w:r>
          </w:p>
        </w:tc>
        <w:tc>
          <w:tcPr>
            <w:tcW w:w="1418"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85504,5</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87795,3</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103684,2</w:t>
            </w:r>
          </w:p>
        </w:tc>
        <w:tc>
          <w:tcPr>
            <w:tcW w:w="1213"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115442,5</w:t>
            </w:r>
          </w:p>
        </w:tc>
      </w:tr>
      <w:tr w:rsidR="0022238D" w:rsidRPr="00B02E51" w:rsidTr="0022238D">
        <w:tc>
          <w:tcPr>
            <w:tcW w:w="3936" w:type="dxa"/>
          </w:tcPr>
          <w:p w:rsidR="0022238D" w:rsidRPr="00B02E51" w:rsidRDefault="0022238D" w:rsidP="0022238D">
            <w:pPr>
              <w:spacing w:before="120" w:after="120"/>
              <w:rPr>
                <w:rFonts w:ascii="Arial" w:hAnsi="Arial" w:cs="Arial"/>
                <w:color w:val="000000" w:themeColor="text1"/>
                <w:sz w:val="18"/>
                <w:szCs w:val="18"/>
              </w:rPr>
            </w:pPr>
            <w:r w:rsidRPr="00B02E51">
              <w:rPr>
                <w:rFonts w:ascii="Arial" w:hAnsi="Arial" w:cs="Arial"/>
                <w:color w:val="000000" w:themeColor="text1"/>
                <w:sz w:val="18"/>
                <w:szCs w:val="18"/>
              </w:rPr>
              <w:t xml:space="preserve">   торгующих организаций</w:t>
            </w:r>
          </w:p>
        </w:tc>
        <w:tc>
          <w:tcPr>
            <w:tcW w:w="1275"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8945,2</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30775,1</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44648,3</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62601,7</w:t>
            </w:r>
          </w:p>
        </w:tc>
        <w:tc>
          <w:tcPr>
            <w:tcW w:w="1418"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75638,2</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77119,6</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92958,9</w:t>
            </w:r>
          </w:p>
        </w:tc>
        <w:tc>
          <w:tcPr>
            <w:tcW w:w="1213"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105317,9</w:t>
            </w:r>
          </w:p>
        </w:tc>
      </w:tr>
      <w:tr w:rsidR="0022238D" w:rsidRPr="00B02E51" w:rsidTr="0022238D">
        <w:tc>
          <w:tcPr>
            <w:tcW w:w="3936" w:type="dxa"/>
          </w:tcPr>
          <w:p w:rsidR="0022238D" w:rsidRPr="00B02E51" w:rsidRDefault="0022238D" w:rsidP="0022238D">
            <w:pPr>
              <w:spacing w:before="120" w:after="120"/>
              <w:ind w:left="142"/>
              <w:rPr>
                <w:rFonts w:ascii="Arial" w:hAnsi="Arial" w:cs="Arial"/>
                <w:color w:val="000000" w:themeColor="text1"/>
                <w:sz w:val="18"/>
                <w:szCs w:val="18"/>
              </w:rPr>
            </w:pPr>
            <w:r w:rsidRPr="00B02E51">
              <w:rPr>
                <w:rFonts w:ascii="Arial" w:hAnsi="Arial" w:cs="Arial"/>
                <w:color w:val="000000" w:themeColor="text1"/>
                <w:sz w:val="18"/>
                <w:szCs w:val="18"/>
              </w:rPr>
              <w:t>вещевых, смешанных и продовольстве</w:t>
            </w:r>
            <w:r w:rsidRPr="00B02E51">
              <w:rPr>
                <w:rFonts w:ascii="Arial" w:hAnsi="Arial" w:cs="Arial"/>
                <w:color w:val="000000" w:themeColor="text1"/>
                <w:sz w:val="18"/>
                <w:szCs w:val="18"/>
              </w:rPr>
              <w:t>н</w:t>
            </w:r>
            <w:r w:rsidRPr="00B02E51">
              <w:rPr>
                <w:rFonts w:ascii="Arial" w:hAnsi="Arial" w:cs="Arial"/>
                <w:color w:val="000000" w:themeColor="text1"/>
                <w:sz w:val="18"/>
                <w:szCs w:val="18"/>
              </w:rPr>
              <w:t>ных рынков</w:t>
            </w:r>
          </w:p>
        </w:tc>
        <w:tc>
          <w:tcPr>
            <w:tcW w:w="1275"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5270,6</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9855,8</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9334,3</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8610,2</w:t>
            </w:r>
          </w:p>
        </w:tc>
        <w:tc>
          <w:tcPr>
            <w:tcW w:w="1418"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9866,3</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10675,7</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10725,3</w:t>
            </w:r>
          </w:p>
        </w:tc>
        <w:tc>
          <w:tcPr>
            <w:tcW w:w="1213"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10124,6</w:t>
            </w:r>
          </w:p>
        </w:tc>
      </w:tr>
      <w:tr w:rsidR="0022238D" w:rsidRPr="00B02E51" w:rsidTr="0022238D">
        <w:tc>
          <w:tcPr>
            <w:tcW w:w="3936" w:type="dxa"/>
          </w:tcPr>
          <w:p w:rsidR="0022238D" w:rsidRPr="00B02E51" w:rsidRDefault="0022238D" w:rsidP="0022238D">
            <w:pPr>
              <w:spacing w:before="120" w:after="120"/>
              <w:rPr>
                <w:rFonts w:ascii="Arial" w:hAnsi="Arial" w:cs="Arial"/>
                <w:color w:val="000000" w:themeColor="text1"/>
                <w:sz w:val="18"/>
                <w:szCs w:val="18"/>
              </w:rPr>
            </w:pPr>
            <w:r w:rsidRPr="00B02E51">
              <w:rPr>
                <w:rFonts w:ascii="Arial" w:hAnsi="Arial" w:cs="Arial"/>
                <w:color w:val="000000" w:themeColor="text1"/>
                <w:sz w:val="18"/>
                <w:szCs w:val="18"/>
              </w:rPr>
              <w:t xml:space="preserve"> Из оборота розничной торговли</w:t>
            </w:r>
            <w:r w:rsidRPr="00B02E51">
              <w:rPr>
                <w:rFonts w:ascii="Arial" w:hAnsi="Arial" w:cs="Arial"/>
                <w:color w:val="000000" w:themeColor="text1"/>
                <w:sz w:val="18"/>
                <w:szCs w:val="18"/>
                <w:lang w:val="en-US"/>
              </w:rPr>
              <w:t>:</w:t>
            </w:r>
          </w:p>
        </w:tc>
        <w:tc>
          <w:tcPr>
            <w:tcW w:w="1275"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c>
          <w:tcPr>
            <w:tcW w:w="1418"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c>
          <w:tcPr>
            <w:tcW w:w="1213"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p>
        </w:tc>
      </w:tr>
      <w:tr w:rsidR="0022238D" w:rsidRPr="00B02E51" w:rsidTr="0022238D">
        <w:tc>
          <w:tcPr>
            <w:tcW w:w="3936" w:type="dxa"/>
          </w:tcPr>
          <w:p w:rsidR="0022238D" w:rsidRPr="00B02E51" w:rsidRDefault="0022238D" w:rsidP="0022238D">
            <w:pPr>
              <w:spacing w:before="120" w:after="120"/>
              <w:ind w:left="142"/>
              <w:rPr>
                <w:rFonts w:ascii="Arial" w:hAnsi="Arial" w:cs="Arial"/>
                <w:color w:val="000000" w:themeColor="text1"/>
                <w:sz w:val="18"/>
                <w:szCs w:val="18"/>
              </w:rPr>
            </w:pPr>
            <w:r w:rsidRPr="00B02E51">
              <w:rPr>
                <w:rFonts w:ascii="Arial" w:hAnsi="Arial" w:cs="Arial"/>
                <w:color w:val="000000" w:themeColor="text1"/>
                <w:sz w:val="18"/>
                <w:szCs w:val="18"/>
              </w:rPr>
              <w:t>продовольственные товары</w:t>
            </w:r>
          </w:p>
        </w:tc>
        <w:tc>
          <w:tcPr>
            <w:tcW w:w="1275"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6106,6</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16499,1</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24738,5</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31205,9</w:t>
            </w:r>
          </w:p>
        </w:tc>
        <w:tc>
          <w:tcPr>
            <w:tcW w:w="1418"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39998,3</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44301,1</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50722,7</w:t>
            </w:r>
          </w:p>
        </w:tc>
        <w:tc>
          <w:tcPr>
            <w:tcW w:w="1213"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58267,3</w:t>
            </w:r>
          </w:p>
        </w:tc>
      </w:tr>
      <w:tr w:rsidR="0022238D" w:rsidRPr="00B02E51" w:rsidTr="0022238D">
        <w:tc>
          <w:tcPr>
            <w:tcW w:w="3936" w:type="dxa"/>
          </w:tcPr>
          <w:p w:rsidR="0022238D" w:rsidRPr="00B02E51" w:rsidRDefault="0022238D" w:rsidP="0022238D">
            <w:pPr>
              <w:spacing w:before="120" w:after="120"/>
              <w:ind w:left="142"/>
              <w:rPr>
                <w:rFonts w:ascii="Arial" w:hAnsi="Arial" w:cs="Arial"/>
                <w:color w:val="000000" w:themeColor="text1"/>
                <w:sz w:val="18"/>
                <w:szCs w:val="18"/>
              </w:rPr>
            </w:pPr>
            <w:r w:rsidRPr="00B02E51">
              <w:rPr>
                <w:rFonts w:ascii="Arial" w:hAnsi="Arial" w:cs="Arial"/>
                <w:color w:val="000000" w:themeColor="text1"/>
                <w:sz w:val="18"/>
                <w:szCs w:val="18"/>
              </w:rPr>
              <w:t>непродовольственные товары</w:t>
            </w:r>
          </w:p>
        </w:tc>
        <w:tc>
          <w:tcPr>
            <w:tcW w:w="1275"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8109,3</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24131,8</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29244,1</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40006,0</w:t>
            </w:r>
          </w:p>
        </w:tc>
        <w:tc>
          <w:tcPr>
            <w:tcW w:w="1418"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45506,2</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43494,2</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52961,6</w:t>
            </w:r>
          </w:p>
        </w:tc>
        <w:tc>
          <w:tcPr>
            <w:tcW w:w="1213"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57175,2</w:t>
            </w:r>
          </w:p>
        </w:tc>
      </w:tr>
      <w:tr w:rsidR="0022238D" w:rsidRPr="00B02E51" w:rsidTr="0022238D">
        <w:tc>
          <w:tcPr>
            <w:tcW w:w="3936" w:type="dxa"/>
          </w:tcPr>
          <w:p w:rsidR="0022238D" w:rsidRPr="00B02E51" w:rsidRDefault="0022238D" w:rsidP="0022238D">
            <w:pPr>
              <w:spacing w:before="120" w:after="120"/>
              <w:rPr>
                <w:rFonts w:ascii="Arial" w:hAnsi="Arial" w:cs="Arial"/>
                <w:color w:val="000000" w:themeColor="text1"/>
                <w:sz w:val="18"/>
                <w:szCs w:val="18"/>
              </w:rPr>
            </w:pPr>
            <w:r w:rsidRPr="00B02E51">
              <w:rPr>
                <w:rFonts w:ascii="Arial" w:hAnsi="Arial" w:cs="Arial"/>
                <w:color w:val="000000" w:themeColor="text1"/>
                <w:sz w:val="18"/>
                <w:szCs w:val="18"/>
              </w:rPr>
              <w:t xml:space="preserve">Оборот общественного питания </w:t>
            </w:r>
          </w:p>
        </w:tc>
        <w:tc>
          <w:tcPr>
            <w:tcW w:w="1275"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497,7</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707,5</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942,3</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1538,0</w:t>
            </w:r>
          </w:p>
        </w:tc>
        <w:tc>
          <w:tcPr>
            <w:tcW w:w="1418"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2342,5</w:t>
            </w:r>
          </w:p>
        </w:tc>
        <w:tc>
          <w:tcPr>
            <w:tcW w:w="1417"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2142,5</w:t>
            </w:r>
          </w:p>
        </w:tc>
        <w:tc>
          <w:tcPr>
            <w:tcW w:w="1276"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2611,0</w:t>
            </w:r>
          </w:p>
        </w:tc>
        <w:tc>
          <w:tcPr>
            <w:tcW w:w="1213" w:type="dxa"/>
            <w:vAlign w:val="bottom"/>
          </w:tcPr>
          <w:p w:rsidR="0022238D" w:rsidRPr="00B02E51" w:rsidRDefault="0022238D" w:rsidP="0022238D">
            <w:pPr>
              <w:spacing w:before="120" w:after="120"/>
              <w:ind w:right="175"/>
              <w:jc w:val="right"/>
              <w:rPr>
                <w:rFonts w:ascii="Arial" w:hAnsi="Arial" w:cs="Arial"/>
                <w:color w:val="000000" w:themeColor="text1"/>
                <w:sz w:val="18"/>
                <w:szCs w:val="18"/>
              </w:rPr>
            </w:pPr>
            <w:r w:rsidRPr="00B02E51">
              <w:rPr>
                <w:rFonts w:ascii="Arial" w:hAnsi="Arial" w:cs="Arial"/>
                <w:color w:val="000000" w:themeColor="text1"/>
                <w:sz w:val="18"/>
                <w:szCs w:val="18"/>
              </w:rPr>
              <w:t>3398,4</w:t>
            </w:r>
          </w:p>
        </w:tc>
      </w:tr>
    </w:tbl>
    <w:p w:rsidR="0022238D" w:rsidRPr="00727236" w:rsidRDefault="0022238D" w:rsidP="0022238D">
      <w:pPr>
        <w:spacing w:before="120" w:after="120"/>
        <w:rPr>
          <w:rFonts w:ascii="Arial" w:hAnsi="Arial" w:cs="Arial"/>
          <w:color w:val="FF0000"/>
          <w:sz w:val="22"/>
        </w:rPr>
      </w:pPr>
    </w:p>
    <w:p w:rsidR="00DB27B1" w:rsidRDefault="00DB27B1">
      <w:pPr>
        <w:rPr>
          <w:rFonts w:ascii="Arial" w:hAnsi="Arial"/>
          <w:b/>
          <w:i/>
          <w:caps/>
          <w:kern w:val="28"/>
          <w:sz w:val="24"/>
        </w:rPr>
      </w:pPr>
    </w:p>
    <w:bookmarkEnd w:id="28"/>
    <w:p w:rsidR="0022238D" w:rsidRDefault="0022238D">
      <w:pPr>
        <w:rPr>
          <w:rFonts w:ascii="Arial" w:hAnsi="Arial"/>
          <w:b/>
          <w:i/>
          <w:caps/>
          <w:color w:val="548DD4" w:themeColor="text2" w:themeTint="99"/>
          <w:kern w:val="28"/>
          <w:sz w:val="24"/>
        </w:rPr>
      </w:pPr>
      <w:r>
        <w:rPr>
          <w:color w:val="548DD4" w:themeColor="text2" w:themeTint="99"/>
        </w:rPr>
        <w:br w:type="page"/>
      </w:r>
    </w:p>
    <w:p w:rsidR="00DB27B1" w:rsidRPr="006068FA" w:rsidRDefault="00DB27B1" w:rsidP="00DB27B1">
      <w:pPr>
        <w:pStyle w:val="1"/>
        <w:rPr>
          <w:color w:val="548DD4" w:themeColor="text2" w:themeTint="99"/>
        </w:rPr>
      </w:pPr>
      <w:r w:rsidRPr="006068FA">
        <w:rPr>
          <w:color w:val="548DD4" w:themeColor="text2" w:themeTint="99"/>
        </w:rPr>
        <w:lastRenderedPageBreak/>
        <w:t>НАУКА</w:t>
      </w:r>
    </w:p>
    <w:p w:rsidR="00DB27B1" w:rsidRDefault="00DB27B1" w:rsidP="00DB27B1">
      <w:pPr>
        <w:rPr>
          <w:rFonts w:ascii="Arial" w:hAnsi="Arial" w:cs="Arial"/>
          <w:sz w:val="22"/>
        </w:rPr>
      </w:pPr>
      <w:r>
        <w:rPr>
          <w:rFonts w:ascii="Arial" w:hAnsi="Arial" w:cs="Arial"/>
          <w:noProof/>
          <w:sz w:val="22"/>
        </w:rPr>
        <w:drawing>
          <wp:anchor distT="0" distB="0" distL="114300" distR="114300" simplePos="0" relativeHeight="251777024" behindDoc="0" locked="0" layoutInCell="1" allowOverlap="1">
            <wp:simplePos x="0" y="0"/>
            <wp:positionH relativeFrom="margin">
              <wp:posOffset>-40640</wp:posOffset>
            </wp:positionH>
            <wp:positionV relativeFrom="margin">
              <wp:posOffset>246380</wp:posOffset>
            </wp:positionV>
            <wp:extent cx="1394460" cy="1325245"/>
            <wp:effectExtent l="19050" t="0" r="0" b="0"/>
            <wp:wrapSquare wrapText="bothSides"/>
            <wp:docPr id="66" name="Рисунок 49" descr="на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ка.jpg"/>
                    <pic:cNvPicPr/>
                  </pic:nvPicPr>
                  <pic:blipFill>
                    <a:blip r:embed="rId60"/>
                    <a:stretch>
                      <a:fillRect/>
                    </a:stretch>
                  </pic:blipFill>
                  <pic:spPr>
                    <a:xfrm>
                      <a:off x="0" y="0"/>
                      <a:ext cx="1394460" cy="1325245"/>
                    </a:xfrm>
                    <a:prstGeom prst="rect">
                      <a:avLst/>
                    </a:prstGeom>
                    <a:ln>
                      <a:noFill/>
                    </a:ln>
                    <a:effectLst>
                      <a:softEdge rad="112500"/>
                    </a:effectLst>
                  </pic:spPr>
                </pic:pic>
              </a:graphicData>
            </a:graphic>
          </wp:anchor>
        </w:drawing>
      </w:r>
    </w:p>
    <w:p w:rsidR="00DB27B1" w:rsidRPr="005F4B63" w:rsidRDefault="00DB27B1" w:rsidP="00DB27B1">
      <w:pPr>
        <w:pStyle w:val="aa"/>
        <w:spacing w:line="240" w:lineRule="auto"/>
        <w:ind w:right="-143" w:firstLine="0"/>
        <w:rPr>
          <w:rFonts w:cs="Arial"/>
          <w:sz w:val="22"/>
        </w:rPr>
      </w:pPr>
      <w:bookmarkStart w:id="30" w:name="_Hlt479646722"/>
      <w:bookmarkEnd w:id="30"/>
      <w:r w:rsidRPr="005F4B63">
        <w:rPr>
          <w:rFonts w:cs="Arial"/>
          <w:sz w:val="22"/>
        </w:rPr>
        <w:t>Уровень развития научно-технического потенциала определяет конкурентоспособность и устойчивое развитие о</w:t>
      </w:r>
      <w:r w:rsidRPr="005F4B63">
        <w:rPr>
          <w:rFonts w:cs="Arial"/>
          <w:sz w:val="22"/>
        </w:rPr>
        <w:t>б</w:t>
      </w:r>
      <w:r w:rsidRPr="005F4B63">
        <w:rPr>
          <w:rFonts w:cs="Arial"/>
          <w:sz w:val="22"/>
        </w:rPr>
        <w:t>ласти, обеспечение стабильного развития её экономики.</w:t>
      </w:r>
    </w:p>
    <w:p w:rsidR="00DB27B1" w:rsidRPr="005F4B63" w:rsidRDefault="00DB27B1" w:rsidP="00DB27B1">
      <w:pPr>
        <w:pStyle w:val="aa"/>
        <w:spacing w:line="240" w:lineRule="auto"/>
        <w:ind w:right="-143" w:firstLine="0"/>
        <w:rPr>
          <w:rFonts w:cs="Arial"/>
          <w:sz w:val="22"/>
        </w:rPr>
      </w:pPr>
      <w:r w:rsidRPr="005F4B63">
        <w:rPr>
          <w:rFonts w:cs="Arial"/>
          <w:sz w:val="22"/>
        </w:rPr>
        <w:t>Различные экономические условия диктуют и неизбежные изменения в науке. В сложившихся экономических, соц</w:t>
      </w:r>
      <w:r w:rsidRPr="005F4B63">
        <w:rPr>
          <w:rFonts w:cs="Arial"/>
          <w:sz w:val="22"/>
        </w:rPr>
        <w:t>и</w:t>
      </w:r>
      <w:r w:rsidRPr="005F4B63">
        <w:rPr>
          <w:rFonts w:cs="Arial"/>
          <w:sz w:val="22"/>
        </w:rPr>
        <w:t>альных и политических условиях тех лет наука испытывала определенные трудности. Её структура, внутренние вз</w:t>
      </w:r>
      <w:r w:rsidRPr="005F4B63">
        <w:rPr>
          <w:rFonts w:cs="Arial"/>
          <w:sz w:val="22"/>
        </w:rPr>
        <w:t>а</w:t>
      </w:r>
      <w:r w:rsidRPr="005F4B63">
        <w:rPr>
          <w:rFonts w:cs="Arial"/>
          <w:sz w:val="22"/>
        </w:rPr>
        <w:t>имосвязи, механизмы функционирования в основном сформировались задолго до начала политических и эконом</w:t>
      </w:r>
      <w:r w:rsidRPr="005F4B63">
        <w:rPr>
          <w:rFonts w:cs="Arial"/>
          <w:sz w:val="22"/>
        </w:rPr>
        <w:t>и</w:t>
      </w:r>
      <w:r w:rsidRPr="005F4B63">
        <w:rPr>
          <w:rFonts w:cs="Arial"/>
          <w:sz w:val="22"/>
        </w:rPr>
        <w:t>ческих реформ. Научные организации и сами ученые, столкнувшись с определенными обстоятельствами, пытались адаптироваться к ним. Однако такая адаптация происходила в отсутствии соответствующей характеру изменений реакции со стороны государства, своевременных решений, направленных на поддержку науки.</w:t>
      </w:r>
    </w:p>
    <w:p w:rsidR="00DB27B1" w:rsidRPr="005F4B63" w:rsidRDefault="00DB27B1" w:rsidP="00DB27B1">
      <w:pPr>
        <w:pStyle w:val="aa"/>
        <w:spacing w:line="240" w:lineRule="auto"/>
        <w:rPr>
          <w:rFonts w:cs="Arial"/>
          <w:sz w:val="22"/>
        </w:rPr>
      </w:pPr>
      <w:r w:rsidRPr="005F4B63">
        <w:rPr>
          <w:rFonts w:cs="Arial"/>
          <w:sz w:val="22"/>
        </w:rPr>
        <w:t>Начиная с 1960 года, на предприятиях области ускоренными темпами идет механизация производства, применение различных механизмов и машин. В лесной отрасли уровень механизации работ достиг 100% уже в 70-х годах. В строительных организациях кол</w:t>
      </w:r>
      <w:r w:rsidRPr="005F4B63">
        <w:rPr>
          <w:rFonts w:cs="Arial"/>
          <w:sz w:val="22"/>
        </w:rPr>
        <w:t>е</w:t>
      </w:r>
      <w:r w:rsidRPr="005F4B63">
        <w:rPr>
          <w:rFonts w:cs="Arial"/>
          <w:sz w:val="22"/>
        </w:rPr>
        <w:t xml:space="preserve">бался в пределах 80-99%. </w:t>
      </w:r>
    </w:p>
    <w:p w:rsidR="00DB27B1" w:rsidRPr="005F4B63" w:rsidRDefault="00DB27B1" w:rsidP="00DB27B1">
      <w:pPr>
        <w:pStyle w:val="aa"/>
        <w:spacing w:line="240" w:lineRule="auto"/>
        <w:rPr>
          <w:rFonts w:cs="Arial"/>
          <w:sz w:val="22"/>
        </w:rPr>
      </w:pPr>
      <w:r w:rsidRPr="005F4B63">
        <w:rPr>
          <w:rFonts w:cs="Arial"/>
          <w:sz w:val="22"/>
        </w:rPr>
        <w:t>Важным показателем научно-технического процесса является численность изобретателей подавших предложения. Начиная, с 1960 года и по 1985 год, наблюдается тенденция к росту. Причем наибольшая численность рационализаторов и изобретателей занята в отрасли промышленности (больше 70% от общей численности). В 90-х годах происходит снижение численности и к 1993 году она с</w:t>
      </w:r>
      <w:r w:rsidRPr="005F4B63">
        <w:rPr>
          <w:rFonts w:cs="Arial"/>
          <w:sz w:val="22"/>
        </w:rPr>
        <w:t>о</w:t>
      </w:r>
      <w:r w:rsidRPr="005F4B63">
        <w:rPr>
          <w:rFonts w:cs="Arial"/>
          <w:sz w:val="22"/>
        </w:rPr>
        <w:t xml:space="preserve">ставляет 3220 человек, что в 2 раза меньше уровня 1960 года. Причиной такого снижения послужили кризис в стране и нестабильность в экономике. </w:t>
      </w:r>
    </w:p>
    <w:p w:rsidR="00DB27B1" w:rsidRPr="005F4B63" w:rsidRDefault="00DB27B1" w:rsidP="00DB27B1">
      <w:pPr>
        <w:pStyle w:val="aa"/>
        <w:spacing w:line="240" w:lineRule="auto"/>
        <w:rPr>
          <w:rFonts w:cs="Arial"/>
          <w:sz w:val="22"/>
        </w:rPr>
      </w:pPr>
      <w:r w:rsidRPr="005F4B63">
        <w:rPr>
          <w:rFonts w:cs="Arial"/>
          <w:sz w:val="22"/>
        </w:rPr>
        <w:t>Одним из ярких показателей развития науки в Ульяновской области, является число установленных автоматических линий на предприятиях. На протяжении более 20-ти лет, начиная с 1965 года, наблюдается неуклонный рост (с 77 в 1965 году до 598 в 1987). В 1990 г. было установлено лишь 365 линий, что соответствовало уровню 1975 года</w:t>
      </w:r>
    </w:p>
    <w:p w:rsidR="00DB27B1" w:rsidRDefault="00DB27B1" w:rsidP="00DB27B1">
      <w:pPr>
        <w:pStyle w:val="22"/>
        <w:spacing w:line="240" w:lineRule="auto"/>
        <w:rPr>
          <w:rFonts w:cs="Arial"/>
          <w:sz w:val="22"/>
        </w:rPr>
      </w:pPr>
      <w:r w:rsidRPr="002D6006">
        <w:rPr>
          <w:rFonts w:cs="Arial"/>
          <w:sz w:val="22"/>
        </w:rPr>
        <w:t>Основным элементом организационной структуры науки являются самостоятельные организации, выполняющие исследования и разработки, а также соответствующие подразделения ВУЗов,</w:t>
      </w:r>
      <w:r>
        <w:rPr>
          <w:rFonts w:cs="Arial"/>
          <w:sz w:val="22"/>
        </w:rPr>
        <w:t xml:space="preserve"> промышленных предприятий. В </w:t>
      </w:r>
      <w:r w:rsidRPr="00DB27B1">
        <w:rPr>
          <w:rFonts w:cs="Arial"/>
          <w:sz w:val="22"/>
        </w:rPr>
        <w:t>2011</w:t>
      </w:r>
      <w:r w:rsidRPr="002D6006">
        <w:rPr>
          <w:rFonts w:cs="Arial"/>
          <w:sz w:val="22"/>
        </w:rPr>
        <w:t xml:space="preserve"> году в области насчитывалось 2</w:t>
      </w:r>
      <w:r>
        <w:rPr>
          <w:rFonts w:cs="Arial"/>
          <w:sz w:val="22"/>
        </w:rPr>
        <w:t>1</w:t>
      </w:r>
      <w:r w:rsidRPr="002D6006">
        <w:rPr>
          <w:rFonts w:cs="Arial"/>
          <w:sz w:val="22"/>
        </w:rPr>
        <w:t xml:space="preserve"> т</w:t>
      </w:r>
      <w:r w:rsidRPr="002D6006">
        <w:rPr>
          <w:rFonts w:cs="Arial"/>
          <w:sz w:val="22"/>
        </w:rPr>
        <w:t>а</w:t>
      </w:r>
      <w:r w:rsidRPr="002D6006">
        <w:rPr>
          <w:rFonts w:cs="Arial"/>
          <w:sz w:val="22"/>
        </w:rPr>
        <w:t>к</w:t>
      </w:r>
      <w:r>
        <w:rPr>
          <w:rFonts w:cs="Arial"/>
          <w:sz w:val="22"/>
        </w:rPr>
        <w:t>ая</w:t>
      </w:r>
      <w:r w:rsidRPr="002D6006">
        <w:rPr>
          <w:rFonts w:cs="Arial"/>
          <w:sz w:val="22"/>
        </w:rPr>
        <w:t xml:space="preserve"> организаци</w:t>
      </w:r>
      <w:r>
        <w:rPr>
          <w:rFonts w:cs="Arial"/>
          <w:sz w:val="22"/>
        </w:rPr>
        <w:t>я (в 1990</w:t>
      </w:r>
      <w:r w:rsidRPr="002D6006">
        <w:rPr>
          <w:rFonts w:cs="Arial"/>
          <w:sz w:val="22"/>
        </w:rPr>
        <w:t xml:space="preserve"> году - 24 организации). </w:t>
      </w:r>
    </w:p>
    <w:p w:rsidR="00DB27B1" w:rsidRDefault="00DB27B1" w:rsidP="00DB27B1">
      <w:pPr>
        <w:pStyle w:val="22"/>
        <w:spacing w:line="240" w:lineRule="auto"/>
        <w:rPr>
          <w:rFonts w:cs="Arial"/>
          <w:sz w:val="22"/>
        </w:rPr>
      </w:pPr>
    </w:p>
    <w:p w:rsidR="00DB27B1" w:rsidRDefault="00DB27B1" w:rsidP="00DB27B1">
      <w:pPr>
        <w:pStyle w:val="aa"/>
        <w:spacing w:line="240" w:lineRule="auto"/>
        <w:ind w:right="-143" w:firstLine="0"/>
        <w:jc w:val="center"/>
        <w:rPr>
          <w:rFonts w:cs="Arial"/>
          <w:b/>
          <w:sz w:val="22"/>
        </w:rPr>
      </w:pPr>
      <w:r w:rsidRPr="000826CD">
        <w:rPr>
          <w:rFonts w:cs="Arial"/>
          <w:b/>
          <w:sz w:val="22"/>
        </w:rPr>
        <w:t>ОСНОВНЫЕ ПОКАЗ</w:t>
      </w:r>
      <w:r>
        <w:rPr>
          <w:rFonts w:cs="Arial"/>
          <w:b/>
          <w:sz w:val="22"/>
        </w:rPr>
        <w:t>АТЕЛИ ДЕЯТЕЛЬНОСТИ ОРГАНИЗАЦИЙ,</w:t>
      </w:r>
      <w:r>
        <w:rPr>
          <w:rFonts w:cs="Arial"/>
          <w:b/>
          <w:sz w:val="22"/>
        </w:rPr>
        <w:br/>
      </w:r>
      <w:r w:rsidRPr="000826CD">
        <w:rPr>
          <w:rFonts w:cs="Arial"/>
          <w:b/>
          <w:sz w:val="22"/>
        </w:rPr>
        <w:t>ВЫПОЛНЯВШИХ НАУЧНЫЕ ИССЛЕДОВАНИЯ И РАЗРАБОТКИ</w:t>
      </w:r>
    </w:p>
    <w:p w:rsidR="00DB27B1" w:rsidRPr="000826CD" w:rsidRDefault="00DB27B1" w:rsidP="00DB27B1">
      <w:pPr>
        <w:pStyle w:val="aa"/>
        <w:spacing w:line="240" w:lineRule="auto"/>
        <w:ind w:right="-143"/>
        <w:jc w:val="center"/>
        <w:rPr>
          <w:rFonts w:cs="Arial"/>
          <w:b/>
          <w:sz w:val="22"/>
        </w:rPr>
      </w:pPr>
    </w:p>
    <w:tbl>
      <w:tblPr>
        <w:tblStyle w:val="-11"/>
        <w:tblW w:w="0" w:type="auto"/>
        <w:tblLook w:val="04A0" w:firstRow="1" w:lastRow="0" w:firstColumn="1" w:lastColumn="0" w:noHBand="0" w:noVBand="1"/>
      </w:tblPr>
      <w:tblGrid>
        <w:gridCol w:w="6487"/>
        <w:gridCol w:w="1603"/>
        <w:gridCol w:w="1603"/>
        <w:gridCol w:w="1604"/>
        <w:gridCol w:w="1603"/>
        <w:gridCol w:w="1604"/>
      </w:tblGrid>
      <w:tr w:rsidR="00DB27B1" w:rsidRPr="000826CD" w:rsidTr="00F15D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tcBorders>
              <w:top w:val="single" w:sz="8" w:space="0" w:color="4F81BD" w:themeColor="accent1"/>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pStyle w:val="22"/>
              <w:spacing w:before="60" w:after="60" w:line="240" w:lineRule="auto"/>
              <w:ind w:right="-176"/>
              <w:rPr>
                <w:rFonts w:cs="Arial"/>
                <w:color w:val="auto"/>
                <w:sz w:val="18"/>
                <w:szCs w:val="18"/>
              </w:rPr>
            </w:pP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pStyle w:val="22"/>
              <w:spacing w:before="60" w:after="60" w:line="240" w:lineRule="auto"/>
              <w:ind w:right="-176"/>
              <w:cnfStyle w:val="100000000000" w:firstRow="1" w:lastRow="0" w:firstColumn="0" w:lastColumn="0" w:oddVBand="0" w:evenVBand="0" w:oddHBand="0" w:evenHBand="0" w:firstRowFirstColumn="0" w:firstRowLastColumn="0" w:lastRowFirstColumn="0" w:lastRowLastColumn="0"/>
              <w:rPr>
                <w:rFonts w:cs="Arial"/>
                <w:b w:val="0"/>
                <w:color w:val="auto"/>
                <w:sz w:val="18"/>
                <w:szCs w:val="18"/>
              </w:rPr>
            </w:pPr>
            <w:r w:rsidRPr="004F2F3B">
              <w:rPr>
                <w:rFonts w:cs="Arial"/>
                <w:b w:val="0"/>
                <w:color w:val="auto"/>
                <w:sz w:val="18"/>
                <w:szCs w:val="18"/>
              </w:rPr>
              <w:t>1990</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pStyle w:val="22"/>
              <w:spacing w:before="60" w:after="60" w:line="240" w:lineRule="auto"/>
              <w:ind w:right="-176"/>
              <w:cnfStyle w:val="100000000000" w:firstRow="1" w:lastRow="0" w:firstColumn="0" w:lastColumn="0" w:oddVBand="0" w:evenVBand="0" w:oddHBand="0" w:evenHBand="0" w:firstRowFirstColumn="0" w:firstRowLastColumn="0" w:lastRowFirstColumn="0" w:lastRowLastColumn="0"/>
              <w:rPr>
                <w:rFonts w:cs="Arial"/>
                <w:b w:val="0"/>
                <w:color w:val="auto"/>
                <w:sz w:val="18"/>
                <w:szCs w:val="18"/>
              </w:rPr>
            </w:pPr>
            <w:r w:rsidRPr="004F2F3B">
              <w:rPr>
                <w:rFonts w:cs="Arial"/>
                <w:b w:val="0"/>
                <w:color w:val="auto"/>
                <w:sz w:val="18"/>
                <w:szCs w:val="18"/>
              </w:rPr>
              <w:t>1995</w:t>
            </w:r>
          </w:p>
        </w:tc>
        <w:tc>
          <w:tcPr>
            <w:tcW w:w="1604"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pStyle w:val="22"/>
              <w:spacing w:before="60" w:after="60" w:line="240" w:lineRule="auto"/>
              <w:ind w:right="-176"/>
              <w:cnfStyle w:val="100000000000" w:firstRow="1" w:lastRow="0" w:firstColumn="0" w:lastColumn="0" w:oddVBand="0" w:evenVBand="0" w:oddHBand="0" w:evenHBand="0" w:firstRowFirstColumn="0" w:firstRowLastColumn="0" w:lastRowFirstColumn="0" w:lastRowLastColumn="0"/>
              <w:rPr>
                <w:rFonts w:cs="Arial"/>
                <w:b w:val="0"/>
                <w:color w:val="auto"/>
                <w:sz w:val="18"/>
                <w:szCs w:val="18"/>
              </w:rPr>
            </w:pPr>
            <w:r w:rsidRPr="004F2F3B">
              <w:rPr>
                <w:rFonts w:cs="Arial"/>
                <w:b w:val="0"/>
                <w:color w:val="auto"/>
                <w:sz w:val="18"/>
                <w:szCs w:val="18"/>
              </w:rPr>
              <w:t>2000</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pStyle w:val="22"/>
              <w:spacing w:before="60" w:after="60" w:line="240" w:lineRule="auto"/>
              <w:ind w:right="-176"/>
              <w:cnfStyle w:val="100000000000" w:firstRow="1" w:lastRow="0" w:firstColumn="0" w:lastColumn="0" w:oddVBand="0" w:evenVBand="0" w:oddHBand="0" w:evenHBand="0" w:firstRowFirstColumn="0" w:firstRowLastColumn="0" w:lastRowFirstColumn="0" w:lastRowLastColumn="0"/>
              <w:rPr>
                <w:rFonts w:cs="Arial"/>
                <w:b w:val="0"/>
                <w:color w:val="auto"/>
                <w:sz w:val="18"/>
                <w:szCs w:val="18"/>
              </w:rPr>
            </w:pPr>
            <w:r w:rsidRPr="004F2F3B">
              <w:rPr>
                <w:rFonts w:cs="Arial"/>
                <w:b w:val="0"/>
                <w:color w:val="auto"/>
                <w:sz w:val="18"/>
                <w:szCs w:val="18"/>
              </w:rPr>
              <w:t>2005</w:t>
            </w:r>
          </w:p>
        </w:tc>
        <w:tc>
          <w:tcPr>
            <w:tcW w:w="1604" w:type="dxa"/>
            <w:tcBorders>
              <w:top w:val="single" w:sz="8" w:space="0" w:color="4F81BD" w:themeColor="accent1"/>
              <w:left w:val="single" w:sz="4" w:space="0" w:color="548DD4" w:themeColor="text2" w:themeTint="99"/>
              <w:bottom w:val="single" w:sz="8" w:space="0" w:color="4F81BD" w:themeColor="accent1"/>
            </w:tcBorders>
            <w:shd w:val="clear" w:color="auto" w:fill="C6D9F1" w:themeFill="text2" w:themeFillTint="33"/>
          </w:tcPr>
          <w:p w:rsidR="00DB27B1" w:rsidRPr="004F2F3B" w:rsidRDefault="00DB27B1" w:rsidP="00F15D5C">
            <w:pPr>
              <w:pStyle w:val="22"/>
              <w:spacing w:before="60" w:after="60" w:line="240" w:lineRule="auto"/>
              <w:ind w:right="-176"/>
              <w:cnfStyle w:val="100000000000" w:firstRow="1" w:lastRow="0" w:firstColumn="0" w:lastColumn="0" w:oddVBand="0" w:evenVBand="0" w:oddHBand="0" w:evenHBand="0" w:firstRowFirstColumn="0" w:firstRowLastColumn="0" w:lastRowFirstColumn="0" w:lastRowLastColumn="0"/>
              <w:rPr>
                <w:rFonts w:cs="Arial"/>
                <w:b w:val="0"/>
                <w:color w:val="auto"/>
                <w:sz w:val="18"/>
                <w:szCs w:val="18"/>
              </w:rPr>
            </w:pPr>
            <w:r w:rsidRPr="004F2F3B">
              <w:rPr>
                <w:rFonts w:cs="Arial"/>
                <w:b w:val="0"/>
                <w:color w:val="auto"/>
                <w:sz w:val="18"/>
                <w:szCs w:val="18"/>
              </w:rPr>
              <w:t>201</w:t>
            </w:r>
            <w:r>
              <w:rPr>
                <w:rFonts w:cs="Arial"/>
                <w:b w:val="0"/>
                <w:color w:val="auto"/>
                <w:sz w:val="18"/>
                <w:szCs w:val="18"/>
              </w:rPr>
              <w:t>1</w:t>
            </w:r>
          </w:p>
        </w:tc>
      </w:tr>
      <w:tr w:rsidR="00DB27B1" w:rsidRPr="000826CD"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tcBorders>
              <w:right w:val="single" w:sz="4" w:space="0" w:color="548DD4" w:themeColor="text2" w:themeTint="99"/>
            </w:tcBorders>
          </w:tcPr>
          <w:p w:rsidR="00DB27B1" w:rsidRPr="004F2F3B" w:rsidRDefault="00DB27B1" w:rsidP="00F15D5C">
            <w:pPr>
              <w:pStyle w:val="22"/>
              <w:spacing w:line="240" w:lineRule="auto"/>
              <w:ind w:right="175" w:firstLine="0"/>
              <w:rPr>
                <w:rFonts w:cs="Arial"/>
                <w:b w:val="0"/>
                <w:sz w:val="18"/>
                <w:szCs w:val="18"/>
              </w:rPr>
            </w:pPr>
            <w:r w:rsidRPr="004F2F3B">
              <w:rPr>
                <w:rFonts w:cs="Arial"/>
                <w:b w:val="0"/>
                <w:sz w:val="18"/>
                <w:szCs w:val="18"/>
              </w:rPr>
              <w:t>Число организаций, выполнявших научные исследования и разработки, единиц</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24</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21</w:t>
            </w:r>
          </w:p>
        </w:tc>
        <w:tc>
          <w:tcPr>
            <w:tcW w:w="1604"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17</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23</w:t>
            </w:r>
          </w:p>
        </w:tc>
        <w:tc>
          <w:tcPr>
            <w:tcW w:w="1604" w:type="dxa"/>
            <w:tcBorders>
              <w:left w:val="single" w:sz="4" w:space="0" w:color="548DD4" w:themeColor="text2" w:themeTint="99"/>
            </w:tcBorders>
            <w:vAlign w:val="bottom"/>
          </w:tcPr>
          <w:p w:rsidR="00DB27B1" w:rsidRPr="006D35C4"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Pr>
                <w:rFonts w:cs="Arial"/>
                <w:sz w:val="18"/>
                <w:szCs w:val="18"/>
                <w:lang w:val="en-US"/>
              </w:rPr>
              <w:t>21</w:t>
            </w:r>
          </w:p>
        </w:tc>
      </w:tr>
      <w:tr w:rsidR="00DB27B1" w:rsidRPr="000826CD" w:rsidTr="00F15D5C">
        <w:tc>
          <w:tcPr>
            <w:cnfStyle w:val="001000000000" w:firstRow="0" w:lastRow="0" w:firstColumn="1" w:lastColumn="0" w:oddVBand="0" w:evenVBand="0" w:oddHBand="0" w:evenHBand="0" w:firstRowFirstColumn="0" w:firstRowLastColumn="0" w:lastRowFirstColumn="0" w:lastRowLastColumn="0"/>
            <w:tcW w:w="6487" w:type="dxa"/>
            <w:tcBorders>
              <w:top w:val="single" w:sz="8" w:space="0" w:color="4F81BD" w:themeColor="accent1"/>
              <w:bottom w:val="single" w:sz="8" w:space="0" w:color="4F81BD" w:themeColor="accent1"/>
              <w:right w:val="single" w:sz="4" w:space="0" w:color="548DD4" w:themeColor="text2" w:themeTint="99"/>
            </w:tcBorders>
          </w:tcPr>
          <w:p w:rsidR="00DB27B1" w:rsidRPr="004F2F3B" w:rsidRDefault="00DB27B1" w:rsidP="00F15D5C">
            <w:pPr>
              <w:pStyle w:val="22"/>
              <w:spacing w:line="240" w:lineRule="auto"/>
              <w:ind w:right="175" w:firstLine="0"/>
              <w:rPr>
                <w:rFonts w:cs="Arial"/>
                <w:b w:val="0"/>
                <w:sz w:val="18"/>
                <w:szCs w:val="18"/>
              </w:rPr>
            </w:pPr>
            <w:r w:rsidRPr="004F2F3B">
              <w:rPr>
                <w:rFonts w:cs="Arial"/>
                <w:b w:val="0"/>
                <w:sz w:val="18"/>
                <w:szCs w:val="18"/>
              </w:rPr>
              <w:t>Численность работников, выполнявших научные исследования и ра</w:t>
            </w:r>
            <w:r w:rsidRPr="004F2F3B">
              <w:rPr>
                <w:rFonts w:cs="Arial"/>
                <w:b w:val="0"/>
                <w:sz w:val="18"/>
                <w:szCs w:val="18"/>
              </w:rPr>
              <w:t>з</w:t>
            </w:r>
            <w:r w:rsidRPr="004F2F3B">
              <w:rPr>
                <w:rFonts w:cs="Arial"/>
                <w:b w:val="0"/>
                <w:sz w:val="18"/>
                <w:szCs w:val="18"/>
              </w:rPr>
              <w:t>работки, человек</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11788</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8750</w:t>
            </w:r>
          </w:p>
        </w:tc>
        <w:tc>
          <w:tcPr>
            <w:tcW w:w="1604"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8319</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8041</w:t>
            </w:r>
          </w:p>
        </w:tc>
        <w:tc>
          <w:tcPr>
            <w:tcW w:w="1604" w:type="dxa"/>
            <w:tcBorders>
              <w:top w:val="single" w:sz="8" w:space="0" w:color="4F81BD" w:themeColor="accent1"/>
              <w:left w:val="single" w:sz="4" w:space="0" w:color="548DD4" w:themeColor="text2" w:themeTint="99"/>
              <w:bottom w:val="single" w:sz="8" w:space="0" w:color="4F81BD" w:themeColor="accent1"/>
            </w:tcBorders>
            <w:vAlign w:val="bottom"/>
          </w:tcPr>
          <w:p w:rsidR="00DB27B1" w:rsidRPr="006D35C4"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Pr>
                <w:rFonts w:cs="Arial"/>
                <w:sz w:val="18"/>
                <w:szCs w:val="18"/>
                <w:lang w:val="en-US"/>
              </w:rPr>
              <w:t>6881</w:t>
            </w:r>
          </w:p>
        </w:tc>
      </w:tr>
      <w:tr w:rsidR="00DB27B1" w:rsidRPr="000826CD"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tcBorders>
              <w:right w:val="single" w:sz="4" w:space="0" w:color="548DD4" w:themeColor="text2" w:themeTint="99"/>
            </w:tcBorders>
          </w:tcPr>
          <w:p w:rsidR="00DB27B1" w:rsidRPr="004F2F3B" w:rsidRDefault="00DB27B1" w:rsidP="00F15D5C">
            <w:pPr>
              <w:pStyle w:val="22"/>
              <w:spacing w:line="240" w:lineRule="auto"/>
              <w:ind w:right="175" w:firstLine="0"/>
              <w:rPr>
                <w:rFonts w:cs="Arial"/>
                <w:b w:val="0"/>
                <w:sz w:val="18"/>
                <w:szCs w:val="18"/>
              </w:rPr>
            </w:pPr>
            <w:r w:rsidRPr="004F2F3B">
              <w:rPr>
                <w:rFonts w:cs="Arial"/>
                <w:b w:val="0"/>
                <w:sz w:val="18"/>
                <w:szCs w:val="18"/>
              </w:rPr>
              <w:t>Специалисты высшей квалификации (доктора и кандидаты наук), чел</w:t>
            </w:r>
            <w:r w:rsidRPr="004F2F3B">
              <w:rPr>
                <w:rFonts w:cs="Arial"/>
                <w:b w:val="0"/>
                <w:sz w:val="18"/>
                <w:szCs w:val="18"/>
              </w:rPr>
              <w:t>о</w:t>
            </w:r>
            <w:r w:rsidRPr="004F2F3B">
              <w:rPr>
                <w:rFonts w:cs="Arial"/>
                <w:b w:val="0"/>
                <w:sz w:val="18"/>
                <w:szCs w:val="18"/>
              </w:rPr>
              <w:t>век</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168</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193</w:t>
            </w:r>
          </w:p>
        </w:tc>
        <w:tc>
          <w:tcPr>
            <w:tcW w:w="1604"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194</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250</w:t>
            </w:r>
          </w:p>
        </w:tc>
        <w:tc>
          <w:tcPr>
            <w:tcW w:w="1604" w:type="dxa"/>
            <w:tcBorders>
              <w:left w:val="single" w:sz="4" w:space="0" w:color="548DD4" w:themeColor="text2" w:themeTint="99"/>
            </w:tcBorders>
            <w:vAlign w:val="bottom"/>
          </w:tcPr>
          <w:p w:rsidR="00DB27B1" w:rsidRPr="006D35C4"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Pr>
                <w:rFonts w:cs="Arial"/>
                <w:sz w:val="18"/>
                <w:szCs w:val="18"/>
                <w:lang w:val="en-US"/>
              </w:rPr>
              <w:t>294</w:t>
            </w:r>
          </w:p>
        </w:tc>
      </w:tr>
      <w:tr w:rsidR="00DB27B1" w:rsidRPr="000826CD" w:rsidTr="00F15D5C">
        <w:tc>
          <w:tcPr>
            <w:cnfStyle w:val="001000000000" w:firstRow="0" w:lastRow="0" w:firstColumn="1" w:lastColumn="0" w:oddVBand="0" w:evenVBand="0" w:oddHBand="0" w:evenHBand="0" w:firstRowFirstColumn="0" w:firstRowLastColumn="0" w:lastRowFirstColumn="0" w:lastRowLastColumn="0"/>
            <w:tcW w:w="6487" w:type="dxa"/>
            <w:tcBorders>
              <w:top w:val="single" w:sz="8" w:space="0" w:color="4F81BD" w:themeColor="accent1"/>
              <w:bottom w:val="single" w:sz="8" w:space="0" w:color="4F81BD" w:themeColor="accent1"/>
              <w:right w:val="single" w:sz="4" w:space="0" w:color="548DD4" w:themeColor="text2" w:themeTint="99"/>
            </w:tcBorders>
          </w:tcPr>
          <w:p w:rsidR="00DB27B1" w:rsidRPr="004F2F3B" w:rsidRDefault="00DB27B1" w:rsidP="00F15D5C">
            <w:pPr>
              <w:pStyle w:val="22"/>
              <w:spacing w:line="240" w:lineRule="auto"/>
              <w:ind w:right="175" w:firstLine="0"/>
              <w:rPr>
                <w:rFonts w:cs="Arial"/>
                <w:b w:val="0"/>
                <w:sz w:val="18"/>
                <w:szCs w:val="18"/>
              </w:rPr>
            </w:pPr>
            <w:r w:rsidRPr="004F2F3B">
              <w:rPr>
                <w:rFonts w:cs="Arial"/>
                <w:b w:val="0"/>
                <w:sz w:val="18"/>
                <w:szCs w:val="18"/>
              </w:rPr>
              <w:t>Выполненный объем работ,</w:t>
            </w:r>
            <w:r w:rsidR="00E82093">
              <w:rPr>
                <w:rFonts w:cs="Arial"/>
                <w:b w:val="0"/>
                <w:sz w:val="18"/>
                <w:szCs w:val="18"/>
              </w:rPr>
              <w:t xml:space="preserve"> </w:t>
            </w:r>
            <w:r w:rsidRPr="004F2F3B">
              <w:rPr>
                <w:rFonts w:cs="Arial"/>
                <w:b w:val="0"/>
                <w:sz w:val="18"/>
                <w:szCs w:val="18"/>
              </w:rPr>
              <w:t>тыс. руб.</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1428</w:t>
            </w:r>
            <w:r w:rsidRPr="004F2F3B">
              <w:rPr>
                <w:rFonts w:cs="Arial"/>
                <w:sz w:val="18"/>
                <w:szCs w:val="18"/>
                <w:lang w:val="en-US"/>
              </w:rPr>
              <w:t>10</w:t>
            </w:r>
            <w:r w:rsidRPr="004F2F3B">
              <w:rPr>
                <w:rFonts w:cs="Arial"/>
                <w:sz w:val="18"/>
                <w:szCs w:val="18"/>
              </w:rPr>
              <w:t>,0</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169708,3</w:t>
            </w:r>
            <w:r w:rsidRPr="004F2F3B">
              <w:rPr>
                <w:rFonts w:cs="Arial"/>
                <w:sz w:val="18"/>
                <w:szCs w:val="18"/>
                <w:vertAlign w:val="superscript"/>
              </w:rPr>
              <w:t>1)</w:t>
            </w:r>
          </w:p>
        </w:tc>
        <w:tc>
          <w:tcPr>
            <w:tcW w:w="1604"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1165388,5</w:t>
            </w:r>
          </w:p>
        </w:tc>
        <w:tc>
          <w:tcPr>
            <w:tcW w:w="1603" w:type="dxa"/>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3468490,6</w:t>
            </w:r>
          </w:p>
        </w:tc>
        <w:tc>
          <w:tcPr>
            <w:tcW w:w="1604" w:type="dxa"/>
            <w:tcBorders>
              <w:top w:val="single" w:sz="8" w:space="0" w:color="4F81BD" w:themeColor="accent1"/>
              <w:left w:val="single" w:sz="4" w:space="0" w:color="548DD4" w:themeColor="text2" w:themeTint="99"/>
              <w:bottom w:val="single" w:sz="8" w:space="0" w:color="4F81BD" w:themeColor="accent1"/>
            </w:tcBorders>
            <w:vAlign w:val="bottom"/>
          </w:tcPr>
          <w:p w:rsidR="00DB27B1" w:rsidRPr="006D35C4"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Pr>
                <w:rFonts w:cs="Arial"/>
                <w:sz w:val="18"/>
                <w:szCs w:val="18"/>
                <w:lang w:val="en-US"/>
              </w:rPr>
              <w:t>9724814</w:t>
            </w:r>
            <w:r>
              <w:rPr>
                <w:rFonts w:cs="Arial"/>
                <w:sz w:val="18"/>
                <w:szCs w:val="18"/>
              </w:rPr>
              <w:t>,</w:t>
            </w:r>
            <w:r>
              <w:rPr>
                <w:rFonts w:cs="Arial"/>
                <w:sz w:val="18"/>
                <w:szCs w:val="18"/>
                <w:lang w:val="en-US"/>
              </w:rPr>
              <w:t>2</w:t>
            </w:r>
          </w:p>
        </w:tc>
      </w:tr>
      <w:tr w:rsidR="00DB27B1" w:rsidRPr="000826CD"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tcBorders>
              <w:right w:val="single" w:sz="4" w:space="0" w:color="548DD4" w:themeColor="text2" w:themeTint="99"/>
            </w:tcBorders>
          </w:tcPr>
          <w:p w:rsidR="00DB27B1" w:rsidRPr="004F2F3B" w:rsidRDefault="00DB27B1" w:rsidP="00F15D5C">
            <w:pPr>
              <w:pStyle w:val="22"/>
              <w:spacing w:line="240" w:lineRule="auto"/>
              <w:ind w:left="284" w:right="175" w:firstLine="0"/>
              <w:rPr>
                <w:rFonts w:cs="Arial"/>
                <w:b w:val="0"/>
                <w:sz w:val="18"/>
                <w:szCs w:val="18"/>
              </w:rPr>
            </w:pPr>
            <w:r w:rsidRPr="004F2F3B">
              <w:rPr>
                <w:rFonts w:cs="Arial"/>
                <w:b w:val="0"/>
                <w:sz w:val="18"/>
                <w:szCs w:val="18"/>
              </w:rPr>
              <w:t>в том числе собственными силами</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107835,9</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160256,1</w:t>
            </w:r>
            <w:r w:rsidRPr="004F2F3B">
              <w:rPr>
                <w:rFonts w:cs="Arial"/>
                <w:sz w:val="18"/>
                <w:szCs w:val="18"/>
                <w:vertAlign w:val="superscript"/>
              </w:rPr>
              <w:t>1)</w:t>
            </w:r>
          </w:p>
        </w:tc>
        <w:tc>
          <w:tcPr>
            <w:tcW w:w="1604"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1106978,4</w:t>
            </w:r>
          </w:p>
        </w:tc>
        <w:tc>
          <w:tcPr>
            <w:tcW w:w="1603" w:type="dxa"/>
            <w:tcBorders>
              <w:left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4F2F3B">
              <w:rPr>
                <w:rFonts w:cs="Arial"/>
                <w:sz w:val="18"/>
                <w:szCs w:val="18"/>
              </w:rPr>
              <w:t>3253304,6</w:t>
            </w:r>
          </w:p>
        </w:tc>
        <w:tc>
          <w:tcPr>
            <w:tcW w:w="1604" w:type="dxa"/>
            <w:tcBorders>
              <w:lef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8991147,3</w:t>
            </w:r>
          </w:p>
        </w:tc>
      </w:tr>
      <w:tr w:rsidR="00DB27B1" w:rsidRPr="000826CD" w:rsidTr="00F15D5C">
        <w:tc>
          <w:tcPr>
            <w:cnfStyle w:val="001000000000" w:firstRow="0" w:lastRow="0" w:firstColumn="1" w:lastColumn="0" w:oddVBand="0" w:evenVBand="0" w:oddHBand="0" w:evenHBand="0" w:firstRowFirstColumn="0" w:firstRowLastColumn="0" w:lastRowFirstColumn="0" w:lastRowLastColumn="0"/>
            <w:tcW w:w="6487" w:type="dxa"/>
            <w:tcBorders>
              <w:top w:val="single" w:sz="8" w:space="0" w:color="4F81BD" w:themeColor="accent1"/>
              <w:bottom w:val="single" w:sz="4" w:space="0" w:color="548DD4" w:themeColor="text2" w:themeTint="99"/>
              <w:right w:val="single" w:sz="4" w:space="0" w:color="548DD4" w:themeColor="text2" w:themeTint="99"/>
            </w:tcBorders>
          </w:tcPr>
          <w:p w:rsidR="00DB27B1" w:rsidRPr="004F2F3B" w:rsidRDefault="00DB27B1" w:rsidP="00F15D5C">
            <w:pPr>
              <w:pStyle w:val="22"/>
              <w:spacing w:line="240" w:lineRule="auto"/>
              <w:ind w:right="175" w:firstLine="0"/>
              <w:rPr>
                <w:rFonts w:cs="Arial"/>
                <w:b w:val="0"/>
                <w:sz w:val="18"/>
                <w:szCs w:val="18"/>
              </w:rPr>
            </w:pPr>
            <w:r w:rsidRPr="004F2F3B">
              <w:rPr>
                <w:rFonts w:cs="Arial"/>
                <w:b w:val="0"/>
                <w:sz w:val="18"/>
                <w:szCs w:val="18"/>
              </w:rPr>
              <w:t>Внутренние затраты на научные исследования и разработки, тыс. руб.</w:t>
            </w:r>
          </w:p>
        </w:tc>
        <w:tc>
          <w:tcPr>
            <w:tcW w:w="1603" w:type="dxa"/>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114383,9</w:t>
            </w:r>
          </w:p>
        </w:tc>
        <w:tc>
          <w:tcPr>
            <w:tcW w:w="1603" w:type="dxa"/>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137256,0</w:t>
            </w:r>
            <w:r w:rsidRPr="004F2F3B">
              <w:rPr>
                <w:rFonts w:cs="Arial"/>
                <w:sz w:val="18"/>
                <w:szCs w:val="18"/>
                <w:vertAlign w:val="superscript"/>
              </w:rPr>
              <w:t>1)</w:t>
            </w:r>
          </w:p>
        </w:tc>
        <w:tc>
          <w:tcPr>
            <w:tcW w:w="1604" w:type="dxa"/>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908631,1</w:t>
            </w:r>
          </w:p>
        </w:tc>
        <w:tc>
          <w:tcPr>
            <w:tcW w:w="1603" w:type="dxa"/>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4F2F3B">
              <w:rPr>
                <w:rFonts w:cs="Arial"/>
                <w:sz w:val="18"/>
                <w:szCs w:val="18"/>
              </w:rPr>
              <w:t>2537733,0</w:t>
            </w:r>
          </w:p>
        </w:tc>
        <w:tc>
          <w:tcPr>
            <w:tcW w:w="1604" w:type="dxa"/>
            <w:tcBorders>
              <w:top w:val="single" w:sz="8" w:space="0" w:color="4F81BD" w:themeColor="accent1"/>
              <w:left w:val="single" w:sz="4" w:space="0" w:color="548DD4" w:themeColor="text2" w:themeTint="99"/>
              <w:bottom w:val="single" w:sz="4" w:space="0" w:color="548DD4" w:themeColor="text2" w:themeTint="99"/>
            </w:tcBorders>
            <w:vAlign w:val="bottom"/>
          </w:tcPr>
          <w:p w:rsidR="00DB27B1" w:rsidRPr="004F2F3B" w:rsidRDefault="00DB27B1" w:rsidP="00F15D5C">
            <w:pPr>
              <w:pStyle w:val="22"/>
              <w:spacing w:line="240" w:lineRule="auto"/>
              <w:ind w:right="219" w:firstLine="2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7830158,5</w:t>
            </w:r>
          </w:p>
        </w:tc>
      </w:tr>
      <w:tr w:rsidR="00DB27B1" w:rsidRPr="000826CD"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4" w:type="dxa"/>
            <w:gridSpan w:val="6"/>
            <w:tcBorders>
              <w:top w:val="single" w:sz="4" w:space="0" w:color="548DD4" w:themeColor="text2" w:themeTint="99"/>
            </w:tcBorders>
          </w:tcPr>
          <w:p w:rsidR="00DB27B1" w:rsidRPr="004F2F3B" w:rsidRDefault="00DB27B1" w:rsidP="00F15D5C">
            <w:pPr>
              <w:pStyle w:val="22"/>
              <w:spacing w:line="240" w:lineRule="auto"/>
              <w:ind w:right="-176" w:firstLine="142"/>
              <w:rPr>
                <w:rFonts w:cs="Arial"/>
                <w:b w:val="0"/>
                <w:sz w:val="18"/>
                <w:szCs w:val="18"/>
              </w:rPr>
            </w:pPr>
            <w:r w:rsidRPr="004F2F3B">
              <w:rPr>
                <w:rFonts w:cs="Arial"/>
                <w:b w:val="0"/>
                <w:sz w:val="18"/>
                <w:szCs w:val="18"/>
                <w:vertAlign w:val="superscript"/>
              </w:rPr>
              <w:t xml:space="preserve">1) </w:t>
            </w:r>
            <w:r w:rsidRPr="004F2F3B">
              <w:rPr>
                <w:rFonts w:cs="Arial"/>
                <w:b w:val="0"/>
                <w:sz w:val="18"/>
                <w:szCs w:val="18"/>
              </w:rPr>
              <w:t>Млн. рублей</w:t>
            </w:r>
          </w:p>
        </w:tc>
      </w:tr>
    </w:tbl>
    <w:p w:rsidR="00DB27B1" w:rsidRDefault="00DB27B1" w:rsidP="00DB27B1">
      <w:pPr>
        <w:pStyle w:val="22"/>
        <w:spacing w:line="240" w:lineRule="auto"/>
        <w:rPr>
          <w:rFonts w:cs="Arial"/>
          <w:sz w:val="22"/>
        </w:rPr>
      </w:pPr>
      <w:r w:rsidRPr="002D6006">
        <w:rPr>
          <w:rFonts w:cs="Arial"/>
          <w:sz w:val="22"/>
        </w:rPr>
        <w:lastRenderedPageBreak/>
        <w:t>В сложившихся условиях рыночной экономики отсутствие финансирования и разрыв взаимосвязей между предприятиями области привел к постепенному уменьшению размеров научных организаций. Так, численность работников, выполнявших научные исследования и разработ</w:t>
      </w:r>
      <w:r>
        <w:rPr>
          <w:rFonts w:cs="Arial"/>
          <w:sz w:val="22"/>
        </w:rPr>
        <w:t>ки, по сравнению с 1990</w:t>
      </w:r>
      <w:r w:rsidRPr="002D6006">
        <w:rPr>
          <w:rFonts w:cs="Arial"/>
          <w:sz w:val="22"/>
        </w:rPr>
        <w:t xml:space="preserve"> годом </w:t>
      </w:r>
      <w:r>
        <w:rPr>
          <w:rFonts w:cs="Arial"/>
          <w:sz w:val="22"/>
        </w:rPr>
        <w:t xml:space="preserve">сократилась </w:t>
      </w:r>
      <w:r w:rsidRPr="00023727">
        <w:rPr>
          <w:rFonts w:cs="Arial"/>
          <w:sz w:val="22"/>
        </w:rPr>
        <w:t xml:space="preserve">на </w:t>
      </w:r>
      <w:r>
        <w:rPr>
          <w:rFonts w:cs="Arial"/>
          <w:sz w:val="22"/>
        </w:rPr>
        <w:t>41,6</w:t>
      </w:r>
      <w:r w:rsidRPr="00023727">
        <w:rPr>
          <w:rFonts w:cs="Arial"/>
          <w:sz w:val="22"/>
        </w:rPr>
        <w:t>% и составила</w:t>
      </w:r>
      <w:r>
        <w:rPr>
          <w:rFonts w:cs="Arial"/>
          <w:sz w:val="22"/>
        </w:rPr>
        <w:t xml:space="preserve"> в 2011</w:t>
      </w:r>
      <w:r w:rsidRPr="002D6006">
        <w:rPr>
          <w:rFonts w:cs="Arial"/>
          <w:sz w:val="22"/>
        </w:rPr>
        <w:t xml:space="preserve"> году </w:t>
      </w:r>
      <w:r>
        <w:rPr>
          <w:rFonts w:cs="Arial"/>
          <w:sz w:val="22"/>
        </w:rPr>
        <w:t>6881</w:t>
      </w:r>
      <w:r w:rsidRPr="002D6006">
        <w:rPr>
          <w:rFonts w:cs="Arial"/>
          <w:sz w:val="22"/>
        </w:rPr>
        <w:t xml:space="preserve"> человек.</w:t>
      </w:r>
    </w:p>
    <w:p w:rsidR="00DB27B1" w:rsidRDefault="00DB27B1" w:rsidP="00DB27B1">
      <w:pPr>
        <w:pStyle w:val="22"/>
        <w:spacing w:line="240" w:lineRule="auto"/>
        <w:rPr>
          <w:rFonts w:cs="Arial"/>
          <w:sz w:val="22"/>
        </w:rPr>
      </w:pPr>
    </w:p>
    <w:p w:rsidR="00DB27B1" w:rsidRDefault="00DB27B1" w:rsidP="00DB27B1">
      <w:pPr>
        <w:pStyle w:val="8"/>
        <w:rPr>
          <w:sz w:val="22"/>
        </w:rPr>
      </w:pPr>
      <w:r>
        <w:rPr>
          <w:sz w:val="22"/>
        </w:rPr>
        <w:t xml:space="preserve">ДИНАМИКА ЧИСЛЕННОСТИ ПЕРСОНАЛА, </w:t>
      </w:r>
      <w:r>
        <w:rPr>
          <w:sz w:val="22"/>
        </w:rPr>
        <w:br/>
        <w:t>ЗАНЯТОГО ИССЛЕДОВАНИЯМИ И РАЗРАБОТКАМИ</w:t>
      </w:r>
    </w:p>
    <w:p w:rsidR="00DB27B1" w:rsidRPr="00DB27B1" w:rsidRDefault="00DB27B1" w:rsidP="00DB27B1">
      <w:pPr>
        <w:spacing w:before="120" w:after="120"/>
        <w:jc w:val="center"/>
        <w:rPr>
          <w:rFonts w:ascii="Arial" w:hAnsi="Arial" w:cs="Arial"/>
          <w:sz w:val="22"/>
        </w:rPr>
      </w:pPr>
      <w:r>
        <w:rPr>
          <w:rFonts w:ascii="Arial" w:hAnsi="Arial" w:cs="Arial"/>
          <w:sz w:val="22"/>
        </w:rPr>
        <w:t>(человек)</w:t>
      </w:r>
    </w:p>
    <w:tbl>
      <w:tblPr>
        <w:tblStyle w:val="-11"/>
        <w:tblW w:w="4987" w:type="pct"/>
        <w:tblLook w:val="04A0" w:firstRow="1" w:lastRow="0" w:firstColumn="1" w:lastColumn="0" w:noHBand="0" w:noVBand="1"/>
      </w:tblPr>
      <w:tblGrid>
        <w:gridCol w:w="4474"/>
        <w:gridCol w:w="1999"/>
        <w:gridCol w:w="1999"/>
        <w:gridCol w:w="1999"/>
        <w:gridCol w:w="1999"/>
        <w:gridCol w:w="1996"/>
      </w:tblGrid>
      <w:tr w:rsidR="00DB27B1" w:rsidRPr="004F2F3B" w:rsidTr="00F15D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pct"/>
            <w:tcBorders>
              <w:top w:val="single" w:sz="8" w:space="0" w:color="4F81BD" w:themeColor="accent1"/>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spacing w:before="60" w:after="60"/>
              <w:ind w:right="-143"/>
              <w:jc w:val="center"/>
              <w:rPr>
                <w:rFonts w:ascii="Arial" w:hAnsi="Arial" w:cs="Arial"/>
                <w:color w:val="auto"/>
                <w:sz w:val="18"/>
                <w:szCs w:val="18"/>
              </w:rPr>
            </w:pP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spacing w:before="60" w:after="60"/>
              <w:ind w:right="-143"/>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1990</w:t>
            </w: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spacing w:before="60" w:after="60"/>
              <w:ind w:right="-143"/>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1995</w:t>
            </w: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spacing w:before="60" w:after="60"/>
              <w:ind w:right="-143"/>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2000</w:t>
            </w: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4F2F3B" w:rsidRDefault="00DB27B1" w:rsidP="00F15D5C">
            <w:pPr>
              <w:spacing w:before="60" w:after="60"/>
              <w:ind w:right="-143"/>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2005</w:t>
            </w:r>
          </w:p>
        </w:tc>
        <w:tc>
          <w:tcPr>
            <w:tcW w:w="690" w:type="pct"/>
            <w:tcBorders>
              <w:top w:val="single" w:sz="8" w:space="0" w:color="4F81BD" w:themeColor="accent1"/>
              <w:left w:val="single" w:sz="4" w:space="0" w:color="548DD4" w:themeColor="text2" w:themeTint="99"/>
              <w:bottom w:val="single" w:sz="8" w:space="0" w:color="4F81BD" w:themeColor="accent1"/>
            </w:tcBorders>
            <w:shd w:val="clear" w:color="auto" w:fill="C6D9F1" w:themeFill="text2" w:themeFillTint="33"/>
          </w:tcPr>
          <w:p w:rsidR="00DB27B1" w:rsidRPr="004F2F3B" w:rsidRDefault="00DB27B1" w:rsidP="00F15D5C">
            <w:pPr>
              <w:spacing w:before="60" w:after="60"/>
              <w:ind w:right="-143"/>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201</w:t>
            </w:r>
            <w:r>
              <w:rPr>
                <w:rFonts w:ascii="Arial" w:hAnsi="Arial" w:cs="Arial"/>
                <w:b w:val="0"/>
                <w:color w:val="auto"/>
                <w:sz w:val="18"/>
                <w:szCs w:val="18"/>
              </w:rPr>
              <w:t>1</w:t>
            </w:r>
          </w:p>
        </w:tc>
      </w:tr>
      <w:tr w:rsidR="00DB27B1" w:rsidRPr="0084518B"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pct"/>
            <w:tcBorders>
              <w:right w:val="single" w:sz="4" w:space="0" w:color="548DD4" w:themeColor="text2" w:themeTint="99"/>
            </w:tcBorders>
          </w:tcPr>
          <w:p w:rsidR="00DB27B1" w:rsidRPr="004F2F3B" w:rsidRDefault="00DB27B1" w:rsidP="00F15D5C">
            <w:pPr>
              <w:spacing w:before="60" w:after="60"/>
              <w:ind w:right="-143"/>
              <w:rPr>
                <w:rFonts w:ascii="Arial" w:hAnsi="Arial" w:cs="Arial"/>
                <w:b w:val="0"/>
                <w:sz w:val="18"/>
                <w:szCs w:val="18"/>
              </w:rPr>
            </w:pPr>
            <w:r w:rsidRPr="004F2F3B">
              <w:rPr>
                <w:rFonts w:ascii="Arial" w:hAnsi="Arial" w:cs="Arial"/>
                <w:b w:val="0"/>
                <w:sz w:val="18"/>
                <w:szCs w:val="18"/>
              </w:rPr>
              <w:t>Исследователи</w:t>
            </w:r>
          </w:p>
        </w:tc>
        <w:tc>
          <w:tcPr>
            <w:tcW w:w="691" w:type="pct"/>
            <w:tcBorders>
              <w:left w:val="single" w:sz="4" w:space="0" w:color="548DD4" w:themeColor="text2" w:themeTint="99"/>
              <w:right w:val="single" w:sz="4" w:space="0" w:color="548DD4" w:themeColor="text2" w:themeTint="99"/>
            </w:tcBorders>
          </w:tcPr>
          <w:p w:rsidR="00DB27B1" w:rsidRPr="00B17FBD"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vertAlign w:val="superscript"/>
              </w:rPr>
            </w:pPr>
            <w:r w:rsidRPr="00B83FE0">
              <w:rPr>
                <w:rFonts w:ascii="Arial" w:hAnsi="Arial" w:cs="Arial"/>
                <w:sz w:val="18"/>
                <w:szCs w:val="18"/>
              </w:rPr>
              <w:t>6162</w:t>
            </w:r>
            <w:r>
              <w:rPr>
                <w:rFonts w:ascii="Arial" w:hAnsi="Arial" w:cs="Arial"/>
                <w:sz w:val="18"/>
                <w:szCs w:val="18"/>
                <w:vertAlign w:val="superscript"/>
              </w:rPr>
              <w:t>1)</w:t>
            </w:r>
          </w:p>
        </w:tc>
        <w:tc>
          <w:tcPr>
            <w:tcW w:w="691" w:type="pct"/>
            <w:tcBorders>
              <w:left w:val="single" w:sz="4" w:space="0" w:color="548DD4" w:themeColor="text2" w:themeTint="99"/>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1923</w:t>
            </w:r>
          </w:p>
        </w:tc>
        <w:tc>
          <w:tcPr>
            <w:tcW w:w="691" w:type="pct"/>
            <w:tcBorders>
              <w:left w:val="single" w:sz="4" w:space="0" w:color="548DD4" w:themeColor="text2" w:themeTint="99"/>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2380</w:t>
            </w:r>
          </w:p>
        </w:tc>
        <w:tc>
          <w:tcPr>
            <w:tcW w:w="691" w:type="pct"/>
            <w:tcBorders>
              <w:left w:val="single" w:sz="4" w:space="0" w:color="548DD4" w:themeColor="text2" w:themeTint="99"/>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2475</w:t>
            </w:r>
          </w:p>
        </w:tc>
        <w:tc>
          <w:tcPr>
            <w:tcW w:w="690" w:type="pct"/>
            <w:tcBorders>
              <w:lef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2153</w:t>
            </w:r>
          </w:p>
        </w:tc>
      </w:tr>
      <w:tr w:rsidR="00DB27B1" w:rsidRPr="0084518B" w:rsidTr="00F15D5C">
        <w:tc>
          <w:tcPr>
            <w:cnfStyle w:val="001000000000" w:firstRow="0" w:lastRow="0" w:firstColumn="1" w:lastColumn="0" w:oddVBand="0" w:evenVBand="0" w:oddHBand="0" w:evenHBand="0" w:firstRowFirstColumn="0" w:firstRowLastColumn="0" w:lastRowFirstColumn="0" w:lastRowLastColumn="0"/>
            <w:tcW w:w="1546" w:type="pct"/>
            <w:tcBorders>
              <w:top w:val="single" w:sz="8" w:space="0" w:color="4F81BD" w:themeColor="accent1"/>
              <w:bottom w:val="single" w:sz="8" w:space="0" w:color="4F81BD" w:themeColor="accent1"/>
              <w:right w:val="single" w:sz="4" w:space="0" w:color="548DD4" w:themeColor="text2" w:themeTint="99"/>
            </w:tcBorders>
          </w:tcPr>
          <w:p w:rsidR="00DB27B1" w:rsidRPr="004F2F3B" w:rsidRDefault="00DB27B1" w:rsidP="00F15D5C">
            <w:pPr>
              <w:spacing w:before="60" w:after="60"/>
              <w:ind w:right="-143"/>
              <w:rPr>
                <w:rFonts w:ascii="Arial" w:hAnsi="Arial" w:cs="Arial"/>
                <w:b w:val="0"/>
                <w:sz w:val="18"/>
                <w:szCs w:val="18"/>
              </w:rPr>
            </w:pPr>
            <w:r w:rsidRPr="004F2F3B">
              <w:rPr>
                <w:rFonts w:ascii="Arial" w:hAnsi="Arial" w:cs="Arial"/>
                <w:b w:val="0"/>
                <w:sz w:val="18"/>
                <w:szCs w:val="18"/>
              </w:rPr>
              <w:t>Техники</w:t>
            </w: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tcPr>
          <w:p w:rsidR="00DB27B1" w:rsidRPr="00AE36F6"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t>
            </w:r>
            <w:r>
              <w:rPr>
                <w:rFonts w:ascii="Arial" w:hAnsi="Arial" w:cs="Arial"/>
                <w:sz w:val="18"/>
                <w:szCs w:val="18"/>
                <w:vertAlign w:val="superscript"/>
              </w:rPr>
              <w:t>1)</w:t>
            </w: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261</w:t>
            </w: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248</w:t>
            </w:r>
          </w:p>
        </w:tc>
        <w:tc>
          <w:tcPr>
            <w:tcW w:w="691"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195</w:t>
            </w:r>
          </w:p>
        </w:tc>
        <w:tc>
          <w:tcPr>
            <w:tcW w:w="690" w:type="pct"/>
            <w:tcBorders>
              <w:top w:val="single" w:sz="8" w:space="0" w:color="4F81BD" w:themeColor="accent1"/>
              <w:left w:val="single" w:sz="4" w:space="0" w:color="548DD4" w:themeColor="text2" w:themeTint="99"/>
              <w:bottom w:val="single" w:sz="8" w:space="0" w:color="4F81BD" w:themeColor="accent1"/>
            </w:tcBorders>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2395</w:t>
            </w:r>
          </w:p>
        </w:tc>
      </w:tr>
      <w:tr w:rsidR="00DB27B1" w:rsidRPr="0084518B"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pct"/>
            <w:tcBorders>
              <w:right w:val="single" w:sz="4" w:space="0" w:color="548DD4" w:themeColor="text2" w:themeTint="99"/>
            </w:tcBorders>
          </w:tcPr>
          <w:p w:rsidR="00DB27B1" w:rsidRPr="004F2F3B" w:rsidRDefault="00DB27B1" w:rsidP="00F15D5C">
            <w:pPr>
              <w:spacing w:before="60" w:after="60"/>
              <w:ind w:right="-143"/>
              <w:rPr>
                <w:rFonts w:ascii="Arial" w:hAnsi="Arial" w:cs="Arial"/>
                <w:b w:val="0"/>
                <w:sz w:val="18"/>
                <w:szCs w:val="18"/>
              </w:rPr>
            </w:pPr>
            <w:r w:rsidRPr="004F2F3B">
              <w:rPr>
                <w:rFonts w:ascii="Arial" w:hAnsi="Arial" w:cs="Arial"/>
                <w:b w:val="0"/>
                <w:sz w:val="18"/>
                <w:szCs w:val="18"/>
              </w:rPr>
              <w:t>Вспомогательный персонал</w:t>
            </w:r>
          </w:p>
        </w:tc>
        <w:tc>
          <w:tcPr>
            <w:tcW w:w="691" w:type="pct"/>
            <w:tcBorders>
              <w:left w:val="single" w:sz="4" w:space="0" w:color="548DD4" w:themeColor="text2" w:themeTint="99"/>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2098</w:t>
            </w:r>
          </w:p>
        </w:tc>
        <w:tc>
          <w:tcPr>
            <w:tcW w:w="691" w:type="pct"/>
            <w:tcBorders>
              <w:left w:val="single" w:sz="4" w:space="0" w:color="548DD4" w:themeColor="text2" w:themeTint="99"/>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2727</w:t>
            </w:r>
          </w:p>
        </w:tc>
        <w:tc>
          <w:tcPr>
            <w:tcW w:w="691" w:type="pct"/>
            <w:tcBorders>
              <w:left w:val="single" w:sz="4" w:space="0" w:color="548DD4" w:themeColor="text2" w:themeTint="99"/>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4044</w:t>
            </w:r>
          </w:p>
        </w:tc>
        <w:tc>
          <w:tcPr>
            <w:tcW w:w="691" w:type="pct"/>
            <w:tcBorders>
              <w:left w:val="single" w:sz="4" w:space="0" w:color="548DD4" w:themeColor="text2" w:themeTint="99"/>
              <w:righ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3630</w:t>
            </w:r>
          </w:p>
        </w:tc>
        <w:tc>
          <w:tcPr>
            <w:tcW w:w="690" w:type="pct"/>
            <w:tcBorders>
              <w:left w:val="single" w:sz="4" w:space="0" w:color="548DD4" w:themeColor="text2" w:themeTint="99"/>
            </w:tcBorders>
          </w:tcPr>
          <w:p w:rsidR="00DB27B1" w:rsidRPr="0084518B" w:rsidRDefault="00DB27B1" w:rsidP="00F15D5C">
            <w:pPr>
              <w:tabs>
                <w:tab w:val="left" w:pos="1196"/>
              </w:tabs>
              <w:spacing w:before="60" w:after="60"/>
              <w:ind w:right="445"/>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1666</w:t>
            </w:r>
          </w:p>
        </w:tc>
      </w:tr>
      <w:tr w:rsidR="00DB27B1" w:rsidRPr="0084518B" w:rsidTr="00F15D5C">
        <w:tc>
          <w:tcPr>
            <w:cnfStyle w:val="001000000000" w:firstRow="0" w:lastRow="0" w:firstColumn="1" w:lastColumn="0" w:oddVBand="0" w:evenVBand="0" w:oddHBand="0" w:evenHBand="0" w:firstRowFirstColumn="0" w:firstRowLastColumn="0" w:lastRowFirstColumn="0" w:lastRowLastColumn="0"/>
            <w:tcW w:w="1546" w:type="pct"/>
            <w:tcBorders>
              <w:top w:val="single" w:sz="8" w:space="0" w:color="4F81BD" w:themeColor="accent1"/>
              <w:bottom w:val="single" w:sz="4" w:space="0" w:color="548DD4" w:themeColor="text2" w:themeTint="99"/>
              <w:right w:val="single" w:sz="4" w:space="0" w:color="548DD4" w:themeColor="text2" w:themeTint="99"/>
            </w:tcBorders>
            <w:shd w:val="clear" w:color="auto" w:fill="auto"/>
          </w:tcPr>
          <w:p w:rsidR="00DB27B1" w:rsidRPr="004F2F3B" w:rsidRDefault="00DB27B1" w:rsidP="00F15D5C">
            <w:pPr>
              <w:spacing w:before="60" w:after="60"/>
              <w:ind w:right="-143"/>
              <w:rPr>
                <w:rFonts w:ascii="Arial" w:hAnsi="Arial" w:cs="Arial"/>
                <w:b w:val="0"/>
                <w:sz w:val="18"/>
                <w:szCs w:val="18"/>
              </w:rPr>
            </w:pPr>
            <w:r w:rsidRPr="004F2F3B">
              <w:rPr>
                <w:rFonts w:ascii="Arial" w:hAnsi="Arial" w:cs="Arial"/>
                <w:b w:val="0"/>
                <w:sz w:val="18"/>
                <w:szCs w:val="18"/>
              </w:rPr>
              <w:t>Прочий персонал</w:t>
            </w:r>
          </w:p>
        </w:tc>
        <w:tc>
          <w:tcPr>
            <w:tcW w:w="691" w:type="pct"/>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3528</w:t>
            </w:r>
          </w:p>
        </w:tc>
        <w:tc>
          <w:tcPr>
            <w:tcW w:w="691" w:type="pct"/>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3839</w:t>
            </w:r>
          </w:p>
        </w:tc>
        <w:tc>
          <w:tcPr>
            <w:tcW w:w="691" w:type="pct"/>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1933</w:t>
            </w:r>
          </w:p>
        </w:tc>
        <w:tc>
          <w:tcPr>
            <w:tcW w:w="691" w:type="pct"/>
            <w:tcBorders>
              <w:top w:val="single" w:sz="8" w:space="0" w:color="4F81BD" w:themeColor="accent1"/>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1741</w:t>
            </w:r>
          </w:p>
        </w:tc>
        <w:tc>
          <w:tcPr>
            <w:tcW w:w="690" w:type="pct"/>
            <w:tcBorders>
              <w:top w:val="single" w:sz="8" w:space="0" w:color="4F81BD" w:themeColor="accent1"/>
              <w:left w:val="single" w:sz="4" w:space="0" w:color="548DD4" w:themeColor="text2" w:themeTint="99"/>
              <w:bottom w:val="single" w:sz="4" w:space="0" w:color="548DD4" w:themeColor="text2" w:themeTint="99"/>
            </w:tcBorders>
            <w:shd w:val="clear" w:color="auto" w:fill="auto"/>
          </w:tcPr>
          <w:p w:rsidR="00DB27B1" w:rsidRPr="0084518B" w:rsidRDefault="00DB27B1" w:rsidP="00F15D5C">
            <w:pPr>
              <w:tabs>
                <w:tab w:val="left" w:pos="1196"/>
              </w:tabs>
              <w:spacing w:before="60" w:after="60"/>
              <w:ind w:right="445"/>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667</w:t>
            </w:r>
          </w:p>
        </w:tc>
      </w:tr>
      <w:tr w:rsidR="00DB27B1" w:rsidRPr="0084518B"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548DD4" w:themeColor="text2" w:themeTint="99"/>
            </w:tcBorders>
          </w:tcPr>
          <w:p w:rsidR="00DB27B1" w:rsidRPr="004F2F3B" w:rsidRDefault="00DB27B1" w:rsidP="00F15D5C">
            <w:pPr>
              <w:spacing w:before="60" w:after="60"/>
              <w:ind w:right="130"/>
              <w:rPr>
                <w:rFonts w:ascii="Arial" w:hAnsi="Arial" w:cs="Arial"/>
                <w:b w:val="0"/>
                <w:sz w:val="18"/>
                <w:szCs w:val="18"/>
              </w:rPr>
            </w:pPr>
            <w:r w:rsidRPr="004F2F3B">
              <w:rPr>
                <w:rFonts w:ascii="Arial" w:hAnsi="Arial" w:cs="Arial"/>
                <w:b w:val="0"/>
                <w:sz w:val="18"/>
                <w:szCs w:val="18"/>
                <w:vertAlign w:val="superscript"/>
              </w:rPr>
              <w:t>1)</w:t>
            </w:r>
            <w:r w:rsidRPr="004F2F3B">
              <w:rPr>
                <w:rFonts w:ascii="Arial" w:hAnsi="Arial" w:cs="Arial"/>
                <w:b w:val="0"/>
                <w:sz w:val="18"/>
                <w:szCs w:val="18"/>
              </w:rPr>
              <w:t xml:space="preserve"> Специалисты, выполняющие научно-исследовательские, проектно-конструкторские и технологические работы (исследователи и техники)</w:t>
            </w:r>
          </w:p>
        </w:tc>
      </w:tr>
    </w:tbl>
    <w:p w:rsidR="00DB27B1" w:rsidRDefault="00DB27B1" w:rsidP="00DB27B1">
      <w:pPr>
        <w:spacing w:before="120"/>
        <w:ind w:firstLine="709"/>
        <w:jc w:val="both"/>
        <w:rPr>
          <w:rFonts w:ascii="Arial" w:hAnsi="Arial" w:cs="Arial"/>
          <w:sz w:val="22"/>
        </w:rPr>
      </w:pPr>
      <w:r>
        <w:rPr>
          <w:rFonts w:ascii="Arial" w:hAnsi="Arial" w:cs="Arial"/>
          <w:sz w:val="22"/>
        </w:rPr>
        <w:t>Среди научных работников области в 2011 году было 40 доктора наук и 254 кандидата наук (в 1990 году – 13 докторов и 155 ка</w:t>
      </w:r>
      <w:r>
        <w:rPr>
          <w:rFonts w:ascii="Arial" w:hAnsi="Arial" w:cs="Arial"/>
          <w:sz w:val="22"/>
        </w:rPr>
        <w:t>н</w:t>
      </w:r>
      <w:r>
        <w:rPr>
          <w:rFonts w:ascii="Arial" w:hAnsi="Arial" w:cs="Arial"/>
          <w:sz w:val="22"/>
        </w:rPr>
        <w:t>дидатов наук).</w:t>
      </w:r>
    </w:p>
    <w:p w:rsidR="00DB27B1" w:rsidRDefault="00DB27B1" w:rsidP="00DB27B1">
      <w:pPr>
        <w:ind w:right="-143" w:firstLine="709"/>
        <w:jc w:val="both"/>
        <w:rPr>
          <w:rFonts w:ascii="Arial" w:hAnsi="Arial" w:cs="Arial"/>
          <w:sz w:val="22"/>
        </w:rPr>
      </w:pPr>
      <w:r>
        <w:rPr>
          <w:rFonts w:ascii="Arial" w:hAnsi="Arial" w:cs="Arial"/>
          <w:sz w:val="22"/>
        </w:rPr>
        <w:t>Система подготовки кадров для сферы науки включает высшую школу и последипломную подготовку (обучение в аспирантуре и докторантуре). В области в настоящее время 5 высших учебных заведений ведут подготовку кадров высшей квалификации, 3 из них им</w:t>
      </w:r>
      <w:r>
        <w:rPr>
          <w:rFonts w:ascii="Arial" w:hAnsi="Arial" w:cs="Arial"/>
          <w:sz w:val="22"/>
        </w:rPr>
        <w:t>е</w:t>
      </w:r>
      <w:r>
        <w:rPr>
          <w:rFonts w:ascii="Arial" w:hAnsi="Arial" w:cs="Arial"/>
          <w:sz w:val="22"/>
        </w:rPr>
        <w:t>ют докторантуру. Численность обучающихся в аспирантуре на начало 2012 года составила 1078 человека (в 1990 году – 80 человек), в докторантуре – 27 человек. В 2011 году было выпущено 263 аспиранта (73 из них с защитой диссертации) и 9 докторантов.</w:t>
      </w:r>
    </w:p>
    <w:p w:rsidR="00DB27B1" w:rsidRDefault="00DB27B1" w:rsidP="00DB27B1">
      <w:pPr>
        <w:pStyle w:val="aa"/>
        <w:spacing w:line="240" w:lineRule="auto"/>
        <w:ind w:right="-143"/>
        <w:rPr>
          <w:rFonts w:cs="Arial"/>
          <w:sz w:val="22"/>
        </w:rPr>
      </w:pPr>
    </w:p>
    <w:p w:rsidR="00DB27B1" w:rsidRPr="00A4472C" w:rsidRDefault="00DB27B1" w:rsidP="00DB27B1">
      <w:pPr>
        <w:ind w:right="-143" w:firstLine="709"/>
        <w:jc w:val="center"/>
        <w:rPr>
          <w:rFonts w:ascii="Arial" w:hAnsi="Arial" w:cs="Arial"/>
          <w:b/>
          <w:sz w:val="22"/>
        </w:rPr>
      </w:pPr>
      <w:r w:rsidRPr="00A4472C">
        <w:rPr>
          <w:rFonts w:ascii="Arial" w:hAnsi="Arial" w:cs="Arial"/>
          <w:b/>
          <w:sz w:val="22"/>
        </w:rPr>
        <w:t>ОСНОВНЫЕ ПОКАЗАТЕЛИ ДЕЯТЕЛЬНОСТИ АСПИРАНТУРЫ</w:t>
      </w:r>
    </w:p>
    <w:p w:rsidR="00DB27B1" w:rsidRDefault="00DB27B1" w:rsidP="00DB27B1">
      <w:pPr>
        <w:ind w:right="-143" w:firstLine="709"/>
        <w:rPr>
          <w:rFonts w:ascii="Arial" w:hAnsi="Arial" w:cs="Arial"/>
          <w:sz w:val="22"/>
        </w:rPr>
      </w:pPr>
    </w:p>
    <w:tbl>
      <w:tblPr>
        <w:tblStyle w:val="-11"/>
        <w:tblW w:w="5000" w:type="pct"/>
        <w:tblBorders>
          <w:insideH w:val="single" w:sz="8" w:space="0" w:color="4F81BD" w:themeColor="accent1"/>
          <w:insideV w:val="single" w:sz="4" w:space="0" w:color="548DD4" w:themeColor="text2" w:themeTint="99"/>
        </w:tblBorders>
        <w:tblLook w:val="04A0" w:firstRow="1" w:lastRow="0" w:firstColumn="1" w:lastColumn="0" w:noHBand="0" w:noVBand="1"/>
      </w:tblPr>
      <w:tblGrid>
        <w:gridCol w:w="6265"/>
        <w:gridCol w:w="1647"/>
        <w:gridCol w:w="1648"/>
        <w:gridCol w:w="1648"/>
        <w:gridCol w:w="1648"/>
        <w:gridCol w:w="1648"/>
      </w:tblGrid>
      <w:tr w:rsidR="00DB27B1" w:rsidRPr="004F2F3B" w:rsidTr="00F15D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pct"/>
            <w:shd w:val="clear" w:color="auto" w:fill="C6D9F1" w:themeFill="text2" w:themeFillTint="33"/>
          </w:tcPr>
          <w:p w:rsidR="00DB27B1" w:rsidRPr="004F2F3B" w:rsidRDefault="00DB27B1" w:rsidP="00F15D5C">
            <w:pPr>
              <w:spacing w:before="40" w:after="40"/>
              <w:jc w:val="center"/>
              <w:rPr>
                <w:rFonts w:ascii="Arial" w:hAnsi="Arial" w:cs="Arial"/>
                <w:b w:val="0"/>
                <w:color w:val="auto"/>
                <w:sz w:val="18"/>
                <w:szCs w:val="18"/>
              </w:rPr>
            </w:pPr>
          </w:p>
        </w:tc>
        <w:tc>
          <w:tcPr>
            <w:tcW w:w="568" w:type="pct"/>
            <w:shd w:val="clear" w:color="auto" w:fill="C6D9F1" w:themeFill="text2" w:themeFillTint="33"/>
          </w:tcPr>
          <w:p w:rsidR="00DB27B1" w:rsidRPr="004F2F3B" w:rsidRDefault="00DB27B1" w:rsidP="00F15D5C">
            <w:pPr>
              <w:spacing w:before="40" w:after="4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1990</w:t>
            </w:r>
          </w:p>
        </w:tc>
        <w:tc>
          <w:tcPr>
            <w:tcW w:w="568" w:type="pct"/>
            <w:shd w:val="clear" w:color="auto" w:fill="C6D9F1" w:themeFill="text2" w:themeFillTint="33"/>
          </w:tcPr>
          <w:p w:rsidR="00DB27B1" w:rsidRPr="004F2F3B" w:rsidRDefault="00DB27B1" w:rsidP="00F15D5C">
            <w:pPr>
              <w:spacing w:before="40" w:after="4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1995</w:t>
            </w:r>
          </w:p>
        </w:tc>
        <w:tc>
          <w:tcPr>
            <w:tcW w:w="568" w:type="pct"/>
            <w:shd w:val="clear" w:color="auto" w:fill="C6D9F1" w:themeFill="text2" w:themeFillTint="33"/>
          </w:tcPr>
          <w:p w:rsidR="00DB27B1" w:rsidRPr="004F2F3B" w:rsidRDefault="00DB27B1" w:rsidP="00F15D5C">
            <w:pPr>
              <w:spacing w:before="40" w:after="4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2000</w:t>
            </w:r>
          </w:p>
        </w:tc>
        <w:tc>
          <w:tcPr>
            <w:tcW w:w="568" w:type="pct"/>
            <w:shd w:val="clear" w:color="auto" w:fill="C6D9F1" w:themeFill="text2" w:themeFillTint="33"/>
          </w:tcPr>
          <w:p w:rsidR="00DB27B1" w:rsidRPr="004F2F3B" w:rsidRDefault="00DB27B1" w:rsidP="00F15D5C">
            <w:pPr>
              <w:spacing w:before="40" w:after="4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2005</w:t>
            </w:r>
          </w:p>
        </w:tc>
        <w:tc>
          <w:tcPr>
            <w:tcW w:w="568" w:type="pct"/>
            <w:shd w:val="clear" w:color="auto" w:fill="C6D9F1" w:themeFill="text2" w:themeFillTint="33"/>
          </w:tcPr>
          <w:p w:rsidR="00DB27B1" w:rsidRPr="004F2F3B" w:rsidRDefault="00DB27B1" w:rsidP="00F15D5C">
            <w:pPr>
              <w:spacing w:before="40" w:after="4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8"/>
                <w:szCs w:val="18"/>
              </w:rPr>
            </w:pPr>
            <w:r w:rsidRPr="004F2F3B">
              <w:rPr>
                <w:rFonts w:ascii="Arial" w:hAnsi="Arial" w:cs="Arial"/>
                <w:b w:val="0"/>
                <w:color w:val="auto"/>
                <w:sz w:val="18"/>
                <w:szCs w:val="18"/>
              </w:rPr>
              <w:t>201</w:t>
            </w:r>
            <w:r>
              <w:rPr>
                <w:rFonts w:ascii="Arial" w:hAnsi="Arial" w:cs="Arial"/>
                <w:b w:val="0"/>
                <w:color w:val="auto"/>
                <w:sz w:val="18"/>
                <w:szCs w:val="18"/>
              </w:rPr>
              <w:t>1</w:t>
            </w:r>
          </w:p>
        </w:tc>
      </w:tr>
      <w:tr w:rsidR="00DB27B1" w:rsidRPr="004F2F3B"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pct"/>
            <w:tcBorders>
              <w:top w:val="none" w:sz="0" w:space="0" w:color="auto"/>
              <w:left w:val="none" w:sz="0" w:space="0" w:color="auto"/>
              <w:bottom w:val="none" w:sz="0" w:space="0" w:color="auto"/>
            </w:tcBorders>
          </w:tcPr>
          <w:p w:rsidR="00DB27B1" w:rsidRPr="004F2F3B" w:rsidRDefault="00DB27B1" w:rsidP="00F15D5C">
            <w:pPr>
              <w:spacing w:before="60" w:after="60"/>
              <w:rPr>
                <w:rFonts w:ascii="Arial" w:hAnsi="Arial" w:cs="Arial"/>
                <w:b w:val="0"/>
                <w:sz w:val="18"/>
                <w:szCs w:val="18"/>
              </w:rPr>
            </w:pPr>
            <w:r w:rsidRPr="004F2F3B">
              <w:rPr>
                <w:rFonts w:ascii="Arial" w:hAnsi="Arial" w:cs="Arial"/>
                <w:b w:val="0"/>
                <w:sz w:val="18"/>
                <w:szCs w:val="18"/>
              </w:rPr>
              <w:t>Число организаций, ведущих выпуск и подготовку аспирантов, единиц</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4</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4</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6</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6</w:t>
            </w:r>
          </w:p>
        </w:tc>
        <w:tc>
          <w:tcPr>
            <w:tcW w:w="568" w:type="pct"/>
            <w:tcBorders>
              <w:top w:val="none" w:sz="0" w:space="0" w:color="auto"/>
              <w:bottom w:val="none" w:sz="0" w:space="0" w:color="auto"/>
              <w:right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5</w:t>
            </w:r>
          </w:p>
        </w:tc>
      </w:tr>
      <w:tr w:rsidR="00DB27B1" w:rsidRPr="004F2F3B" w:rsidTr="00F15D5C">
        <w:tc>
          <w:tcPr>
            <w:cnfStyle w:val="001000000000" w:firstRow="0" w:lastRow="0" w:firstColumn="1" w:lastColumn="0" w:oddVBand="0" w:evenVBand="0" w:oddHBand="0" w:evenHBand="0" w:firstRowFirstColumn="0" w:firstRowLastColumn="0" w:lastRowFirstColumn="0" w:lastRowLastColumn="0"/>
            <w:tcW w:w="2160" w:type="pct"/>
          </w:tcPr>
          <w:p w:rsidR="00DB27B1" w:rsidRPr="004F2F3B" w:rsidRDefault="00DB27B1" w:rsidP="00F15D5C">
            <w:pPr>
              <w:spacing w:before="60" w:after="60"/>
              <w:rPr>
                <w:rFonts w:ascii="Arial" w:hAnsi="Arial" w:cs="Arial"/>
                <w:b w:val="0"/>
                <w:sz w:val="18"/>
                <w:szCs w:val="18"/>
              </w:rPr>
            </w:pPr>
            <w:r w:rsidRPr="004F2F3B">
              <w:rPr>
                <w:rFonts w:ascii="Arial" w:hAnsi="Arial" w:cs="Arial"/>
                <w:b w:val="0"/>
                <w:sz w:val="18"/>
                <w:szCs w:val="18"/>
              </w:rPr>
              <w:t>Численность аспирантов на конец года, человек</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80</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159</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645</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778</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1078</w:t>
            </w:r>
          </w:p>
        </w:tc>
      </w:tr>
      <w:tr w:rsidR="00DB27B1" w:rsidRPr="004F2F3B"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pct"/>
            <w:tcBorders>
              <w:top w:val="none" w:sz="0" w:space="0" w:color="auto"/>
              <w:left w:val="none" w:sz="0" w:space="0" w:color="auto"/>
              <w:bottom w:val="none" w:sz="0" w:space="0" w:color="auto"/>
            </w:tcBorders>
          </w:tcPr>
          <w:p w:rsidR="00DB27B1" w:rsidRPr="004F2F3B" w:rsidRDefault="00DB27B1" w:rsidP="00F15D5C">
            <w:pPr>
              <w:spacing w:before="60" w:after="60"/>
              <w:rPr>
                <w:rFonts w:ascii="Arial" w:hAnsi="Arial" w:cs="Arial"/>
                <w:b w:val="0"/>
                <w:sz w:val="18"/>
                <w:szCs w:val="18"/>
              </w:rPr>
            </w:pPr>
            <w:r w:rsidRPr="004F2F3B">
              <w:rPr>
                <w:rFonts w:ascii="Arial" w:hAnsi="Arial" w:cs="Arial"/>
                <w:b w:val="0"/>
                <w:sz w:val="18"/>
                <w:szCs w:val="18"/>
              </w:rPr>
              <w:t>Принято в аспирантуру, человек</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sidRPr="004F2F3B">
              <w:rPr>
                <w:rFonts w:ascii="Arial" w:hAnsi="Arial" w:cs="Arial"/>
                <w:sz w:val="18"/>
                <w:szCs w:val="18"/>
                <w:lang w:val="en-US"/>
              </w:rPr>
              <w:t>30</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72</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233</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262</w:t>
            </w:r>
          </w:p>
        </w:tc>
        <w:tc>
          <w:tcPr>
            <w:tcW w:w="568" w:type="pct"/>
            <w:tcBorders>
              <w:top w:val="none" w:sz="0" w:space="0" w:color="auto"/>
              <w:bottom w:val="none" w:sz="0" w:space="0" w:color="auto"/>
              <w:right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339</w:t>
            </w:r>
          </w:p>
        </w:tc>
      </w:tr>
      <w:tr w:rsidR="00DB27B1" w:rsidRPr="004F2F3B" w:rsidTr="00F15D5C">
        <w:tc>
          <w:tcPr>
            <w:cnfStyle w:val="001000000000" w:firstRow="0" w:lastRow="0" w:firstColumn="1" w:lastColumn="0" w:oddVBand="0" w:evenVBand="0" w:oddHBand="0" w:evenHBand="0" w:firstRowFirstColumn="0" w:firstRowLastColumn="0" w:lastRowFirstColumn="0" w:lastRowLastColumn="0"/>
            <w:tcW w:w="2160" w:type="pct"/>
          </w:tcPr>
          <w:p w:rsidR="00DB27B1" w:rsidRPr="004F2F3B" w:rsidRDefault="00DB27B1" w:rsidP="00F15D5C">
            <w:pPr>
              <w:spacing w:before="60" w:after="60"/>
              <w:rPr>
                <w:rFonts w:ascii="Arial" w:hAnsi="Arial" w:cs="Arial"/>
                <w:b w:val="0"/>
                <w:sz w:val="18"/>
                <w:szCs w:val="18"/>
              </w:rPr>
            </w:pPr>
            <w:r w:rsidRPr="004F2F3B">
              <w:rPr>
                <w:rFonts w:ascii="Arial" w:hAnsi="Arial" w:cs="Arial"/>
                <w:b w:val="0"/>
                <w:sz w:val="18"/>
                <w:szCs w:val="18"/>
              </w:rPr>
              <w:t>Выпущено аспирантов, человек</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14</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14</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120</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2F3B">
              <w:rPr>
                <w:rFonts w:ascii="Arial" w:hAnsi="Arial" w:cs="Arial"/>
                <w:sz w:val="18"/>
                <w:szCs w:val="18"/>
              </w:rPr>
              <w:t>174</w:t>
            </w:r>
          </w:p>
        </w:tc>
        <w:tc>
          <w:tcPr>
            <w:tcW w:w="568" w:type="pct"/>
          </w:tcPr>
          <w:p w:rsidR="00DB27B1" w:rsidRPr="004F2F3B" w:rsidRDefault="00DB27B1" w:rsidP="00F15D5C">
            <w:pPr>
              <w:spacing w:before="60" w:after="60"/>
              <w:ind w:right="466"/>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263</w:t>
            </w:r>
          </w:p>
        </w:tc>
      </w:tr>
      <w:tr w:rsidR="00DB27B1" w:rsidRPr="004F2F3B"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pct"/>
            <w:tcBorders>
              <w:top w:val="none" w:sz="0" w:space="0" w:color="auto"/>
              <w:left w:val="none" w:sz="0" w:space="0" w:color="auto"/>
              <w:bottom w:val="none" w:sz="0" w:space="0" w:color="auto"/>
            </w:tcBorders>
          </w:tcPr>
          <w:p w:rsidR="00DB27B1" w:rsidRPr="004F2F3B" w:rsidRDefault="00DB27B1" w:rsidP="00F15D5C">
            <w:pPr>
              <w:spacing w:before="60" w:after="60"/>
              <w:ind w:left="142"/>
              <w:rPr>
                <w:rFonts w:ascii="Arial" w:hAnsi="Arial" w:cs="Arial"/>
                <w:b w:val="0"/>
                <w:sz w:val="18"/>
                <w:szCs w:val="18"/>
              </w:rPr>
            </w:pPr>
            <w:r w:rsidRPr="004F2F3B">
              <w:rPr>
                <w:rFonts w:ascii="Arial" w:hAnsi="Arial" w:cs="Arial"/>
                <w:b w:val="0"/>
                <w:sz w:val="18"/>
                <w:szCs w:val="18"/>
              </w:rPr>
              <w:t>из них с защитой диссертации</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1</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2</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26</w:t>
            </w:r>
          </w:p>
        </w:tc>
        <w:tc>
          <w:tcPr>
            <w:tcW w:w="568" w:type="pct"/>
            <w:tcBorders>
              <w:top w:val="none" w:sz="0" w:space="0" w:color="auto"/>
              <w:bottom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F2F3B">
              <w:rPr>
                <w:rFonts w:ascii="Arial" w:hAnsi="Arial" w:cs="Arial"/>
                <w:sz w:val="18"/>
                <w:szCs w:val="18"/>
              </w:rPr>
              <w:t>43</w:t>
            </w:r>
          </w:p>
        </w:tc>
        <w:tc>
          <w:tcPr>
            <w:tcW w:w="568" w:type="pct"/>
            <w:tcBorders>
              <w:top w:val="none" w:sz="0" w:space="0" w:color="auto"/>
              <w:bottom w:val="none" w:sz="0" w:space="0" w:color="auto"/>
              <w:right w:val="none" w:sz="0" w:space="0" w:color="auto"/>
            </w:tcBorders>
          </w:tcPr>
          <w:p w:rsidR="00DB27B1" w:rsidRPr="004F2F3B" w:rsidRDefault="00DB27B1" w:rsidP="00F15D5C">
            <w:pPr>
              <w:spacing w:before="60" w:after="60"/>
              <w:ind w:right="466"/>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73</w:t>
            </w:r>
          </w:p>
        </w:tc>
      </w:tr>
    </w:tbl>
    <w:p w:rsidR="00DB27B1" w:rsidRDefault="00DB27B1" w:rsidP="00DB27B1">
      <w:pPr>
        <w:pStyle w:val="aa"/>
        <w:spacing w:line="240" w:lineRule="auto"/>
        <w:ind w:right="-142"/>
        <w:rPr>
          <w:rFonts w:cs="Arial"/>
          <w:sz w:val="22"/>
        </w:rPr>
      </w:pPr>
    </w:p>
    <w:p w:rsidR="00DB27B1" w:rsidRDefault="00DB27B1" w:rsidP="00DB27B1">
      <w:pPr>
        <w:pStyle w:val="aa"/>
        <w:spacing w:line="240" w:lineRule="auto"/>
        <w:ind w:right="-142"/>
        <w:rPr>
          <w:rFonts w:cs="Arial"/>
          <w:sz w:val="22"/>
        </w:rPr>
      </w:pPr>
      <w:r>
        <w:rPr>
          <w:rFonts w:cs="Arial"/>
          <w:sz w:val="22"/>
        </w:rPr>
        <w:t>Важной характеристикой уровня развития науки является показатель величины затрат на исследования и разработки. В  нашей о</w:t>
      </w:r>
      <w:r>
        <w:rPr>
          <w:rFonts w:cs="Arial"/>
          <w:sz w:val="22"/>
        </w:rPr>
        <w:t>б</w:t>
      </w:r>
      <w:r>
        <w:rPr>
          <w:rFonts w:cs="Arial"/>
          <w:sz w:val="22"/>
        </w:rPr>
        <w:t xml:space="preserve">ласти в 2011 году затраты на науку составили 8,5 млрд. рублей, из них 7,8 млрд. рублей – это внутренние затраты. В структуре внутренних затрат на научные исследования и разработки преобладают средства организаций предпринимательского сектора (56,6%). Средства </w:t>
      </w:r>
      <w:r>
        <w:rPr>
          <w:rFonts w:cs="Arial"/>
          <w:sz w:val="22"/>
        </w:rPr>
        <w:lastRenderedPageBreak/>
        <w:t xml:space="preserve">бюджетов всех уровней направленные на финансирование науки составили в 2010 году 29,1%, причем 99,2% от этих средств поступило из федерального бюджета.  </w:t>
      </w:r>
    </w:p>
    <w:p w:rsidR="00DB27B1" w:rsidRDefault="00DB27B1" w:rsidP="00DB27B1">
      <w:pPr>
        <w:pStyle w:val="aa"/>
        <w:spacing w:line="240" w:lineRule="auto"/>
        <w:ind w:right="-142"/>
        <w:rPr>
          <w:rFonts w:cs="Arial"/>
          <w:sz w:val="22"/>
        </w:rPr>
      </w:pPr>
      <w:r>
        <w:rPr>
          <w:rFonts w:cs="Arial"/>
          <w:sz w:val="22"/>
        </w:rPr>
        <w:t xml:space="preserve"> В последние годы наблюдается уменьшение доли средств иностранных источников (в 2000 году 26,1% от суммы затрат на науку, в 2011 году всего лишь 4,1%). Это говорит о недостаточной привлекательности областной науки для зарубежных инвесторов. Удельный вес собственных средств организаций в общем объеме их внутренних затрат на научные исследования и разработки в 2011 году составил 9,6%.</w:t>
      </w:r>
    </w:p>
    <w:p w:rsidR="00DB27B1" w:rsidRDefault="00DB27B1" w:rsidP="00DB27B1">
      <w:pPr>
        <w:pStyle w:val="aa"/>
        <w:spacing w:line="240" w:lineRule="auto"/>
        <w:ind w:right="-143"/>
        <w:rPr>
          <w:rFonts w:cs="Arial"/>
          <w:sz w:val="22"/>
        </w:rPr>
      </w:pPr>
      <w:r>
        <w:rPr>
          <w:rFonts w:cs="Arial"/>
          <w:sz w:val="22"/>
        </w:rPr>
        <w:t xml:space="preserve">В 2011 году 9 организаций области, выполняющих исследования и разработки,  работали по приоритетным направлениям науки, технологий и техники, утвержденным Президентом РФ В. Путиным 21 мая 2006 г. (в 2008 году - 6). На научные работы по приоритетным направлениям затрачено в 2011 году </w:t>
      </w:r>
      <w:r w:rsidRPr="00540E5C">
        <w:rPr>
          <w:rFonts w:cs="Arial"/>
          <w:sz w:val="22"/>
        </w:rPr>
        <w:t>5</w:t>
      </w:r>
      <w:r>
        <w:rPr>
          <w:rFonts w:cs="Arial"/>
          <w:sz w:val="22"/>
        </w:rPr>
        <w:t>,</w:t>
      </w:r>
      <w:r w:rsidRPr="00540E5C">
        <w:rPr>
          <w:rFonts w:cs="Arial"/>
          <w:sz w:val="22"/>
        </w:rPr>
        <w:t>4</w:t>
      </w:r>
      <w:r>
        <w:rPr>
          <w:rFonts w:cs="Arial"/>
          <w:sz w:val="22"/>
        </w:rPr>
        <w:t xml:space="preserve"> млрд. рублей (в 2008 году – 2,2 млрд. руб.), из них 39,</w:t>
      </w:r>
      <w:r w:rsidRPr="00540E5C">
        <w:rPr>
          <w:rFonts w:cs="Arial"/>
          <w:sz w:val="22"/>
        </w:rPr>
        <w:t>5</w:t>
      </w:r>
      <w:r>
        <w:rPr>
          <w:rFonts w:cs="Arial"/>
          <w:sz w:val="22"/>
        </w:rPr>
        <w:t>% – за счет средств федерального бюдж</w:t>
      </w:r>
      <w:r>
        <w:rPr>
          <w:rFonts w:cs="Arial"/>
          <w:sz w:val="22"/>
        </w:rPr>
        <w:t>е</w:t>
      </w:r>
      <w:r>
        <w:rPr>
          <w:rFonts w:cs="Arial"/>
          <w:sz w:val="22"/>
        </w:rPr>
        <w:t xml:space="preserve">та. В Ульяновской области среди приоритетных направлений преобладают </w:t>
      </w:r>
      <w:proofErr w:type="spellStart"/>
      <w:r>
        <w:rPr>
          <w:rFonts w:cs="Arial"/>
          <w:sz w:val="22"/>
        </w:rPr>
        <w:t>энергоэффективность</w:t>
      </w:r>
      <w:proofErr w:type="spellEnd"/>
      <w:r>
        <w:rPr>
          <w:rFonts w:cs="Arial"/>
          <w:sz w:val="22"/>
        </w:rPr>
        <w:t xml:space="preserve">, энергосбережение, ядерная энергетика (65,0%). </w:t>
      </w:r>
    </w:p>
    <w:p w:rsidR="00DB27B1" w:rsidRDefault="00DB27B1" w:rsidP="00DB27B1">
      <w:pPr>
        <w:pStyle w:val="aa"/>
        <w:spacing w:line="240" w:lineRule="auto"/>
        <w:ind w:right="-143"/>
        <w:rPr>
          <w:rFonts w:cs="Arial"/>
          <w:sz w:val="22"/>
        </w:rPr>
      </w:pPr>
      <w:r>
        <w:rPr>
          <w:rFonts w:cs="Arial"/>
          <w:sz w:val="22"/>
        </w:rPr>
        <w:t>Технический прогресс невозможен без инновационной активности предприятий.</w:t>
      </w:r>
    </w:p>
    <w:p w:rsidR="00DB27B1" w:rsidRDefault="00DB27B1" w:rsidP="00DB27B1">
      <w:pPr>
        <w:pStyle w:val="aa"/>
        <w:spacing w:line="240" w:lineRule="auto"/>
        <w:ind w:right="-143"/>
        <w:rPr>
          <w:rFonts w:cs="Arial"/>
          <w:sz w:val="22"/>
        </w:rPr>
      </w:pPr>
      <w:r>
        <w:rPr>
          <w:rFonts w:cs="Arial"/>
          <w:sz w:val="22"/>
        </w:rPr>
        <w:t>Инновационная деятельность предполагает целый комплекс научных, технологических, организационных, финансовых и коммерч</w:t>
      </w:r>
      <w:r>
        <w:rPr>
          <w:rFonts w:cs="Arial"/>
          <w:sz w:val="22"/>
        </w:rPr>
        <w:t>е</w:t>
      </w:r>
      <w:r>
        <w:rPr>
          <w:rFonts w:cs="Arial"/>
          <w:sz w:val="22"/>
        </w:rPr>
        <w:t>ских мероприятий, которые в своей совокупности приводят к инновациям.</w:t>
      </w:r>
    </w:p>
    <w:p w:rsidR="00DB27B1" w:rsidRDefault="00DB27B1" w:rsidP="00DB27B1">
      <w:pPr>
        <w:pStyle w:val="aa"/>
        <w:spacing w:line="240" w:lineRule="auto"/>
        <w:ind w:right="-143"/>
        <w:rPr>
          <w:rFonts w:cs="Arial"/>
          <w:sz w:val="22"/>
        </w:rPr>
      </w:pPr>
      <w:r>
        <w:rPr>
          <w:rFonts w:cs="Arial"/>
          <w:sz w:val="22"/>
        </w:rPr>
        <w:t xml:space="preserve">В нашей области количество крупных и средних организаций, осуществляющих технологические инновации, выросло с 10 в 1995 году до 27 в 2011 году. </w:t>
      </w:r>
    </w:p>
    <w:p w:rsidR="00DB27B1" w:rsidRDefault="00DB27B1" w:rsidP="00DB27B1">
      <w:pPr>
        <w:pStyle w:val="aa"/>
        <w:spacing w:line="240" w:lineRule="auto"/>
        <w:ind w:right="-143"/>
        <w:rPr>
          <w:rFonts w:cs="Arial"/>
          <w:sz w:val="22"/>
        </w:rPr>
      </w:pPr>
      <w:r>
        <w:rPr>
          <w:rFonts w:cs="Arial"/>
          <w:sz w:val="22"/>
        </w:rPr>
        <w:t>Затраты на технологические инновации в 2011 году составили 1497,2 млн. рублей (в 1995 году – 77,6 млн. рублей (с учетом пер</w:t>
      </w:r>
      <w:r>
        <w:rPr>
          <w:rFonts w:cs="Arial"/>
          <w:sz w:val="22"/>
        </w:rPr>
        <w:t>е</w:t>
      </w:r>
      <w:r>
        <w:rPr>
          <w:rFonts w:cs="Arial"/>
          <w:sz w:val="22"/>
        </w:rPr>
        <w:t>счета в масштаб цен, действующих с 1 января 1998 года)). Наибольшая доля затрат приходится на исследования и разработку новых пр</w:t>
      </w:r>
      <w:r>
        <w:rPr>
          <w:rFonts w:cs="Arial"/>
          <w:sz w:val="22"/>
        </w:rPr>
        <w:t>о</w:t>
      </w:r>
      <w:r>
        <w:rPr>
          <w:rFonts w:cs="Arial"/>
          <w:sz w:val="22"/>
        </w:rPr>
        <w:t>дуктов, услуг и методов их производства, новых производственных процессов (34,9% от общего объема затрат в 2011 году).</w:t>
      </w:r>
    </w:p>
    <w:p w:rsidR="00DB27B1" w:rsidRDefault="00DB27B1" w:rsidP="00DB27B1">
      <w:pPr>
        <w:pStyle w:val="aa"/>
        <w:spacing w:line="240" w:lineRule="auto"/>
        <w:ind w:right="-143"/>
        <w:rPr>
          <w:rFonts w:cs="Arial"/>
          <w:sz w:val="22"/>
        </w:rPr>
      </w:pPr>
      <w:r>
        <w:rPr>
          <w:rFonts w:cs="Arial"/>
          <w:sz w:val="22"/>
        </w:rPr>
        <w:t>В развитии инновационной деятельности предприятиям приходится рассчитывать преимущественно на собственные средства. В структуре источников финансирования их доля в общем объеме затрат на технологические инновации за период с 1995 по 2008 год к</w:t>
      </w:r>
      <w:r>
        <w:rPr>
          <w:rFonts w:cs="Arial"/>
          <w:sz w:val="22"/>
        </w:rPr>
        <w:t>о</w:t>
      </w:r>
      <w:r>
        <w:rPr>
          <w:rFonts w:cs="Arial"/>
          <w:sz w:val="22"/>
        </w:rPr>
        <w:t>леблется в пределах от 83 до 99%, в 2011 году – 89,1%.</w:t>
      </w:r>
    </w:p>
    <w:p w:rsidR="00DB27B1" w:rsidRDefault="00DB27B1" w:rsidP="00DB27B1">
      <w:pPr>
        <w:pStyle w:val="aa"/>
        <w:spacing w:before="60" w:line="240" w:lineRule="auto"/>
        <w:jc w:val="center"/>
        <w:rPr>
          <w:rFonts w:cs="Arial"/>
          <w:b/>
          <w:sz w:val="22"/>
        </w:rPr>
      </w:pPr>
    </w:p>
    <w:p w:rsidR="00DB27B1" w:rsidRPr="00063D72" w:rsidRDefault="00DB27B1" w:rsidP="00DB27B1">
      <w:pPr>
        <w:pStyle w:val="aa"/>
        <w:spacing w:before="60" w:line="240" w:lineRule="auto"/>
        <w:jc w:val="center"/>
        <w:rPr>
          <w:rFonts w:cs="Arial"/>
          <w:b/>
          <w:sz w:val="22"/>
        </w:rPr>
      </w:pPr>
      <w:r w:rsidRPr="00063D72">
        <w:rPr>
          <w:rFonts w:cs="Arial"/>
          <w:b/>
          <w:sz w:val="22"/>
        </w:rPr>
        <w:t>ОСНОВНЫЕ ПОКАЗАТЕЛИ ОРГАНИЗАЦИЙ, ОСУЩЕСТВЛЯВШИХ ТЕХНОЛОГИЧЕСКИЕ ИННОВАЦИИ</w:t>
      </w:r>
    </w:p>
    <w:p w:rsidR="00DB27B1" w:rsidRDefault="00DB27B1" w:rsidP="00DB27B1">
      <w:pPr>
        <w:pStyle w:val="aa"/>
        <w:spacing w:line="240" w:lineRule="auto"/>
        <w:ind w:right="-143"/>
        <w:rPr>
          <w:rFonts w:cs="Arial"/>
          <w:sz w:val="22"/>
        </w:rPr>
      </w:pPr>
    </w:p>
    <w:tbl>
      <w:tblPr>
        <w:tblStyle w:val="-11"/>
        <w:tblW w:w="5000" w:type="pct"/>
        <w:tblLook w:val="04A0" w:firstRow="1" w:lastRow="0" w:firstColumn="1" w:lastColumn="0" w:noHBand="0" w:noVBand="1"/>
      </w:tblPr>
      <w:tblGrid>
        <w:gridCol w:w="6627"/>
        <w:gridCol w:w="1967"/>
        <w:gridCol w:w="1970"/>
        <w:gridCol w:w="1970"/>
        <w:gridCol w:w="1970"/>
      </w:tblGrid>
      <w:tr w:rsidR="00DB27B1" w:rsidRPr="006068FA" w:rsidTr="00F15D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5" w:type="pct"/>
            <w:tcBorders>
              <w:top w:val="single" w:sz="8" w:space="0" w:color="4F81BD" w:themeColor="accent1"/>
              <w:bottom w:val="single" w:sz="8" w:space="0" w:color="4F81BD" w:themeColor="accent1"/>
              <w:right w:val="single" w:sz="4" w:space="0" w:color="548DD4" w:themeColor="text2" w:themeTint="99"/>
            </w:tcBorders>
            <w:shd w:val="clear" w:color="auto" w:fill="C6D9F1" w:themeFill="text2" w:themeFillTint="33"/>
          </w:tcPr>
          <w:p w:rsidR="00DB27B1" w:rsidRPr="006068FA" w:rsidRDefault="00DB27B1" w:rsidP="00F15D5C">
            <w:pPr>
              <w:pStyle w:val="aa"/>
              <w:spacing w:before="40" w:after="40" w:line="240" w:lineRule="auto"/>
              <w:ind w:firstLine="0"/>
              <w:jc w:val="center"/>
              <w:rPr>
                <w:rFonts w:cs="Arial"/>
                <w:b w:val="0"/>
                <w:color w:val="auto"/>
                <w:szCs w:val="18"/>
              </w:rPr>
            </w:pPr>
          </w:p>
        </w:tc>
        <w:tc>
          <w:tcPr>
            <w:tcW w:w="678"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6068FA" w:rsidRDefault="00DB27B1" w:rsidP="00F15D5C">
            <w:pPr>
              <w:pStyle w:val="aa"/>
              <w:spacing w:before="40" w:after="4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color w:val="auto"/>
                <w:szCs w:val="18"/>
              </w:rPr>
            </w:pPr>
            <w:r w:rsidRPr="006068FA">
              <w:rPr>
                <w:rFonts w:cs="Arial"/>
                <w:b w:val="0"/>
                <w:color w:val="auto"/>
                <w:szCs w:val="18"/>
              </w:rPr>
              <w:t>1995</w:t>
            </w:r>
          </w:p>
        </w:tc>
        <w:tc>
          <w:tcPr>
            <w:tcW w:w="679"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6068FA" w:rsidRDefault="00DB27B1" w:rsidP="00F15D5C">
            <w:pPr>
              <w:pStyle w:val="aa"/>
              <w:spacing w:before="40" w:after="4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color w:val="auto"/>
                <w:szCs w:val="18"/>
              </w:rPr>
            </w:pPr>
            <w:r w:rsidRPr="006068FA">
              <w:rPr>
                <w:rFonts w:cs="Arial"/>
                <w:b w:val="0"/>
                <w:color w:val="auto"/>
                <w:szCs w:val="18"/>
              </w:rPr>
              <w:t>2000</w:t>
            </w:r>
          </w:p>
        </w:tc>
        <w:tc>
          <w:tcPr>
            <w:tcW w:w="679"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shd w:val="clear" w:color="auto" w:fill="C6D9F1" w:themeFill="text2" w:themeFillTint="33"/>
          </w:tcPr>
          <w:p w:rsidR="00DB27B1" w:rsidRPr="006068FA" w:rsidRDefault="00DB27B1" w:rsidP="00F15D5C">
            <w:pPr>
              <w:pStyle w:val="aa"/>
              <w:spacing w:before="40" w:after="4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color w:val="auto"/>
                <w:szCs w:val="18"/>
              </w:rPr>
            </w:pPr>
            <w:r w:rsidRPr="006068FA">
              <w:rPr>
                <w:rFonts w:cs="Arial"/>
                <w:b w:val="0"/>
                <w:color w:val="auto"/>
                <w:szCs w:val="18"/>
              </w:rPr>
              <w:t>2005</w:t>
            </w:r>
          </w:p>
        </w:tc>
        <w:tc>
          <w:tcPr>
            <w:tcW w:w="679" w:type="pct"/>
            <w:tcBorders>
              <w:top w:val="single" w:sz="8" w:space="0" w:color="4F81BD" w:themeColor="accent1"/>
              <w:left w:val="single" w:sz="4" w:space="0" w:color="548DD4" w:themeColor="text2" w:themeTint="99"/>
              <w:bottom w:val="single" w:sz="8" w:space="0" w:color="4F81BD" w:themeColor="accent1"/>
            </w:tcBorders>
            <w:shd w:val="clear" w:color="auto" w:fill="C6D9F1" w:themeFill="text2" w:themeFillTint="33"/>
          </w:tcPr>
          <w:p w:rsidR="00DB27B1" w:rsidRPr="006068FA" w:rsidRDefault="00DB27B1" w:rsidP="00F15D5C">
            <w:pPr>
              <w:pStyle w:val="aa"/>
              <w:spacing w:before="40" w:after="4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color w:val="auto"/>
                <w:szCs w:val="18"/>
              </w:rPr>
            </w:pPr>
            <w:r w:rsidRPr="006068FA">
              <w:rPr>
                <w:rFonts w:cs="Arial"/>
                <w:b w:val="0"/>
                <w:color w:val="auto"/>
                <w:szCs w:val="18"/>
              </w:rPr>
              <w:t>201</w:t>
            </w:r>
            <w:r>
              <w:rPr>
                <w:rFonts w:cs="Arial"/>
                <w:b w:val="0"/>
                <w:color w:val="auto"/>
                <w:szCs w:val="18"/>
              </w:rPr>
              <w:t>1</w:t>
            </w:r>
          </w:p>
        </w:tc>
      </w:tr>
      <w:tr w:rsidR="00DB27B1" w:rsidRPr="006068FA"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5" w:type="pct"/>
            <w:tcBorders>
              <w:right w:val="single" w:sz="4" w:space="0" w:color="548DD4" w:themeColor="text2" w:themeTint="99"/>
            </w:tcBorders>
          </w:tcPr>
          <w:p w:rsidR="00DB27B1" w:rsidRPr="006068FA" w:rsidRDefault="00DB27B1" w:rsidP="00F15D5C">
            <w:pPr>
              <w:pStyle w:val="aa"/>
              <w:spacing w:before="120" w:after="120" w:line="240" w:lineRule="auto"/>
              <w:ind w:firstLine="0"/>
              <w:rPr>
                <w:rFonts w:cs="Arial"/>
                <w:b w:val="0"/>
                <w:szCs w:val="18"/>
              </w:rPr>
            </w:pPr>
            <w:r w:rsidRPr="006068FA">
              <w:rPr>
                <w:rFonts w:cs="Arial"/>
                <w:b w:val="0"/>
                <w:szCs w:val="18"/>
              </w:rPr>
              <w:t>Число организаций, осуществлявших технологические инновации, единиц</w:t>
            </w:r>
          </w:p>
        </w:tc>
        <w:tc>
          <w:tcPr>
            <w:tcW w:w="678" w:type="pct"/>
            <w:tcBorders>
              <w:left w:val="single" w:sz="4" w:space="0" w:color="548DD4" w:themeColor="text2" w:themeTint="99"/>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sidRPr="006068FA">
              <w:rPr>
                <w:rFonts w:cs="Arial"/>
                <w:szCs w:val="18"/>
              </w:rPr>
              <w:t>10</w:t>
            </w:r>
          </w:p>
        </w:tc>
        <w:tc>
          <w:tcPr>
            <w:tcW w:w="679" w:type="pct"/>
            <w:tcBorders>
              <w:left w:val="single" w:sz="4" w:space="0" w:color="548DD4" w:themeColor="text2" w:themeTint="99"/>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sidRPr="006068FA">
              <w:rPr>
                <w:rFonts w:cs="Arial"/>
                <w:szCs w:val="18"/>
              </w:rPr>
              <w:t>36</w:t>
            </w:r>
          </w:p>
        </w:tc>
        <w:tc>
          <w:tcPr>
            <w:tcW w:w="679" w:type="pct"/>
            <w:tcBorders>
              <w:left w:val="single" w:sz="4" w:space="0" w:color="548DD4" w:themeColor="text2" w:themeTint="99"/>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sidRPr="006068FA">
              <w:rPr>
                <w:rFonts w:cs="Arial"/>
                <w:szCs w:val="18"/>
              </w:rPr>
              <w:t>25</w:t>
            </w:r>
          </w:p>
        </w:tc>
        <w:tc>
          <w:tcPr>
            <w:tcW w:w="679" w:type="pct"/>
            <w:tcBorders>
              <w:lef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27</w:t>
            </w:r>
          </w:p>
        </w:tc>
      </w:tr>
      <w:tr w:rsidR="00DB27B1" w:rsidRPr="006068FA" w:rsidTr="00F15D5C">
        <w:tc>
          <w:tcPr>
            <w:cnfStyle w:val="001000000000" w:firstRow="0" w:lastRow="0" w:firstColumn="1" w:lastColumn="0" w:oddVBand="0" w:evenVBand="0" w:oddHBand="0" w:evenHBand="0" w:firstRowFirstColumn="0" w:firstRowLastColumn="0" w:lastRowFirstColumn="0" w:lastRowLastColumn="0"/>
            <w:tcW w:w="2285" w:type="pct"/>
            <w:tcBorders>
              <w:top w:val="single" w:sz="8" w:space="0" w:color="4F81BD" w:themeColor="accent1"/>
              <w:bottom w:val="single" w:sz="8" w:space="0" w:color="4F81BD" w:themeColor="accent1"/>
              <w:right w:val="single" w:sz="4" w:space="0" w:color="548DD4" w:themeColor="text2" w:themeTint="99"/>
            </w:tcBorders>
          </w:tcPr>
          <w:p w:rsidR="00DB27B1" w:rsidRPr="006068FA" w:rsidRDefault="00DB27B1" w:rsidP="00F15D5C">
            <w:pPr>
              <w:pStyle w:val="aa"/>
              <w:spacing w:before="120" w:after="120" w:line="240" w:lineRule="auto"/>
              <w:ind w:firstLine="0"/>
              <w:rPr>
                <w:rFonts w:cs="Arial"/>
                <w:b w:val="0"/>
                <w:szCs w:val="18"/>
              </w:rPr>
            </w:pPr>
            <w:r w:rsidRPr="006068FA">
              <w:rPr>
                <w:rFonts w:cs="Arial"/>
                <w:b w:val="0"/>
                <w:szCs w:val="18"/>
              </w:rPr>
              <w:t xml:space="preserve">Затраты на технологические инновации </w:t>
            </w:r>
            <w:r w:rsidRPr="006068FA">
              <w:rPr>
                <w:rFonts w:cs="Arial"/>
                <w:b w:val="0"/>
                <w:szCs w:val="18"/>
                <w:vertAlign w:val="superscript"/>
              </w:rPr>
              <w:t>1)</w:t>
            </w:r>
          </w:p>
        </w:tc>
        <w:tc>
          <w:tcPr>
            <w:tcW w:w="678"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000000" w:firstRow="0" w:lastRow="0" w:firstColumn="0" w:lastColumn="0" w:oddVBand="0" w:evenVBand="0" w:oddHBand="0" w:evenHBand="0" w:firstRowFirstColumn="0" w:firstRowLastColumn="0" w:lastRowFirstColumn="0" w:lastRowLastColumn="0"/>
              <w:rPr>
                <w:rFonts w:cs="Arial"/>
                <w:szCs w:val="18"/>
              </w:rPr>
            </w:pPr>
            <w:r w:rsidRPr="006068FA">
              <w:rPr>
                <w:rFonts w:cs="Arial"/>
                <w:szCs w:val="18"/>
              </w:rPr>
              <w:t>77632,6</w:t>
            </w:r>
          </w:p>
        </w:tc>
        <w:tc>
          <w:tcPr>
            <w:tcW w:w="679"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000000" w:firstRow="0" w:lastRow="0" w:firstColumn="0" w:lastColumn="0" w:oddVBand="0" w:evenVBand="0" w:oddHBand="0" w:evenHBand="0" w:firstRowFirstColumn="0" w:firstRowLastColumn="0" w:lastRowFirstColumn="0" w:lastRowLastColumn="0"/>
              <w:rPr>
                <w:rFonts w:cs="Arial"/>
                <w:szCs w:val="18"/>
              </w:rPr>
            </w:pPr>
            <w:r w:rsidRPr="006068FA">
              <w:rPr>
                <w:rFonts w:cs="Arial"/>
                <w:szCs w:val="18"/>
              </w:rPr>
              <w:t>200692,0</w:t>
            </w:r>
          </w:p>
        </w:tc>
        <w:tc>
          <w:tcPr>
            <w:tcW w:w="679" w:type="pct"/>
            <w:tcBorders>
              <w:top w:val="single" w:sz="8" w:space="0" w:color="4F81BD" w:themeColor="accent1"/>
              <w:left w:val="single" w:sz="4" w:space="0" w:color="548DD4" w:themeColor="text2" w:themeTint="99"/>
              <w:bottom w:val="single" w:sz="8" w:space="0" w:color="4F81BD" w:themeColor="accent1"/>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000000" w:firstRow="0" w:lastRow="0" w:firstColumn="0" w:lastColumn="0" w:oddVBand="0" w:evenVBand="0" w:oddHBand="0" w:evenHBand="0" w:firstRowFirstColumn="0" w:firstRowLastColumn="0" w:lastRowFirstColumn="0" w:lastRowLastColumn="0"/>
              <w:rPr>
                <w:rFonts w:cs="Arial"/>
                <w:szCs w:val="18"/>
              </w:rPr>
            </w:pPr>
            <w:r w:rsidRPr="006068FA">
              <w:rPr>
                <w:rFonts w:cs="Arial"/>
                <w:szCs w:val="18"/>
              </w:rPr>
              <w:t>901672,2</w:t>
            </w:r>
          </w:p>
        </w:tc>
        <w:tc>
          <w:tcPr>
            <w:tcW w:w="679" w:type="pct"/>
            <w:tcBorders>
              <w:top w:val="single" w:sz="8" w:space="0" w:color="4F81BD" w:themeColor="accent1"/>
              <w:left w:val="single" w:sz="4" w:space="0" w:color="548DD4" w:themeColor="text2" w:themeTint="99"/>
              <w:bottom w:val="single" w:sz="8" w:space="0" w:color="4F81BD" w:themeColor="accent1"/>
            </w:tcBorders>
          </w:tcPr>
          <w:p w:rsidR="00DB27B1" w:rsidRPr="006068FA" w:rsidRDefault="00DB27B1" w:rsidP="00F15D5C">
            <w:pPr>
              <w:pStyle w:val="aa"/>
              <w:spacing w:before="120" w:after="120" w:line="240" w:lineRule="auto"/>
              <w:ind w:right="581" w:firstLine="0"/>
              <w:jc w:val="right"/>
              <w:cnfStyle w:val="000000000000" w:firstRow="0" w:lastRow="0" w:firstColumn="0" w:lastColumn="0" w:oddVBand="0" w:evenVBand="0" w:oddHBand="0" w:evenHBand="0" w:firstRowFirstColumn="0" w:firstRowLastColumn="0" w:lastRowFirstColumn="0" w:lastRowLastColumn="0"/>
              <w:rPr>
                <w:rFonts w:cs="Arial"/>
                <w:szCs w:val="18"/>
              </w:rPr>
            </w:pPr>
            <w:r>
              <w:rPr>
                <w:rFonts w:cs="Arial"/>
                <w:szCs w:val="18"/>
              </w:rPr>
              <w:t>1497216,5</w:t>
            </w:r>
          </w:p>
        </w:tc>
      </w:tr>
      <w:tr w:rsidR="00DB27B1" w:rsidRPr="006068FA" w:rsidTr="00F1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5" w:type="pct"/>
            <w:tcBorders>
              <w:right w:val="single" w:sz="4" w:space="0" w:color="548DD4" w:themeColor="text2" w:themeTint="99"/>
            </w:tcBorders>
          </w:tcPr>
          <w:p w:rsidR="00DB27B1" w:rsidRPr="006068FA" w:rsidRDefault="00DB27B1" w:rsidP="00F15D5C">
            <w:pPr>
              <w:pStyle w:val="aa"/>
              <w:spacing w:before="120" w:after="120" w:line="240" w:lineRule="auto"/>
              <w:ind w:left="284" w:firstLine="0"/>
              <w:rPr>
                <w:rFonts w:cs="Arial"/>
                <w:b w:val="0"/>
                <w:szCs w:val="18"/>
              </w:rPr>
            </w:pPr>
            <w:r w:rsidRPr="006068FA">
              <w:rPr>
                <w:rFonts w:cs="Arial"/>
                <w:b w:val="0"/>
                <w:szCs w:val="18"/>
              </w:rPr>
              <w:t>из них за счет собственных средств организаций</w:t>
            </w:r>
          </w:p>
        </w:tc>
        <w:tc>
          <w:tcPr>
            <w:tcW w:w="678" w:type="pct"/>
            <w:tcBorders>
              <w:left w:val="single" w:sz="4" w:space="0" w:color="548DD4" w:themeColor="text2" w:themeTint="99"/>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sidRPr="006068FA">
              <w:rPr>
                <w:rFonts w:cs="Arial"/>
                <w:szCs w:val="18"/>
              </w:rPr>
              <w:t>69890,2</w:t>
            </w:r>
          </w:p>
        </w:tc>
        <w:tc>
          <w:tcPr>
            <w:tcW w:w="679" w:type="pct"/>
            <w:tcBorders>
              <w:left w:val="single" w:sz="4" w:space="0" w:color="548DD4" w:themeColor="text2" w:themeTint="99"/>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sidRPr="006068FA">
              <w:rPr>
                <w:rFonts w:cs="Arial"/>
                <w:szCs w:val="18"/>
              </w:rPr>
              <w:t>173303,8</w:t>
            </w:r>
          </w:p>
        </w:tc>
        <w:tc>
          <w:tcPr>
            <w:tcW w:w="679" w:type="pct"/>
            <w:tcBorders>
              <w:left w:val="single" w:sz="4" w:space="0" w:color="548DD4" w:themeColor="text2" w:themeTint="99"/>
              <w:righ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sidRPr="006068FA">
              <w:rPr>
                <w:rFonts w:cs="Arial"/>
                <w:szCs w:val="18"/>
              </w:rPr>
              <w:t>876121,1</w:t>
            </w:r>
          </w:p>
        </w:tc>
        <w:tc>
          <w:tcPr>
            <w:tcW w:w="679" w:type="pct"/>
            <w:tcBorders>
              <w:left w:val="single" w:sz="4" w:space="0" w:color="548DD4" w:themeColor="text2" w:themeTint="99"/>
            </w:tcBorders>
          </w:tcPr>
          <w:p w:rsidR="00DB27B1" w:rsidRPr="006068FA" w:rsidRDefault="00DB27B1" w:rsidP="00F15D5C">
            <w:pPr>
              <w:pStyle w:val="aa"/>
              <w:spacing w:before="120" w:after="120" w:line="240" w:lineRule="auto"/>
              <w:ind w:right="581" w:firstLine="0"/>
              <w:jc w:val="righ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1334640,2</w:t>
            </w:r>
          </w:p>
        </w:tc>
      </w:tr>
      <w:tr w:rsidR="00DB27B1" w:rsidRPr="006068FA" w:rsidTr="00F15D5C">
        <w:tc>
          <w:tcPr>
            <w:cnfStyle w:val="001000000000" w:firstRow="0" w:lastRow="0" w:firstColumn="1" w:lastColumn="0" w:oddVBand="0" w:evenVBand="0" w:oddHBand="0" w:evenHBand="0" w:firstRowFirstColumn="0" w:firstRowLastColumn="0" w:lastRowFirstColumn="0" w:lastRowLastColumn="0"/>
            <w:tcW w:w="5000" w:type="pct"/>
            <w:gridSpan w:val="5"/>
          </w:tcPr>
          <w:p w:rsidR="00DB27B1" w:rsidRPr="006068FA" w:rsidRDefault="00DB27B1" w:rsidP="00F15D5C">
            <w:pPr>
              <w:pStyle w:val="aa"/>
              <w:spacing w:before="120" w:after="120" w:line="240" w:lineRule="auto"/>
              <w:ind w:firstLine="0"/>
              <w:jc w:val="left"/>
              <w:rPr>
                <w:rFonts w:cs="Arial"/>
                <w:b w:val="0"/>
                <w:szCs w:val="18"/>
              </w:rPr>
            </w:pPr>
            <w:r w:rsidRPr="006068FA">
              <w:rPr>
                <w:rFonts w:cs="Arial"/>
                <w:b w:val="0"/>
                <w:szCs w:val="18"/>
                <w:vertAlign w:val="superscript"/>
              </w:rPr>
              <w:t>1)</w:t>
            </w:r>
            <w:r w:rsidRPr="006068FA">
              <w:rPr>
                <w:rFonts w:cs="Arial"/>
                <w:b w:val="0"/>
                <w:szCs w:val="18"/>
              </w:rPr>
              <w:t>1995г. – млн. руб., с 2000 г. – тыс. руб.</w:t>
            </w:r>
          </w:p>
        </w:tc>
      </w:tr>
    </w:tbl>
    <w:p w:rsidR="00DB27B1" w:rsidRDefault="00DB27B1" w:rsidP="00DB27B1">
      <w:pPr>
        <w:pStyle w:val="aa"/>
        <w:spacing w:after="100" w:line="240" w:lineRule="auto"/>
        <w:ind w:right="-142"/>
        <w:rPr>
          <w:rFonts w:cs="Arial"/>
          <w:sz w:val="22"/>
        </w:rPr>
      </w:pPr>
    </w:p>
    <w:p w:rsidR="00DB27B1" w:rsidRDefault="00DB27B1" w:rsidP="00DB27B1">
      <w:pPr>
        <w:pStyle w:val="aa"/>
        <w:spacing w:after="100" w:line="240" w:lineRule="auto"/>
        <w:ind w:right="-142"/>
        <w:rPr>
          <w:rFonts w:cs="Arial"/>
          <w:sz w:val="22"/>
        </w:rPr>
      </w:pPr>
      <w:r>
        <w:rPr>
          <w:rFonts w:cs="Arial"/>
          <w:sz w:val="22"/>
        </w:rPr>
        <w:t>В соответствии с новыми потребностями в промышленность внедряются и распространяются новая техника и передовые технол</w:t>
      </w:r>
      <w:r>
        <w:rPr>
          <w:rFonts w:cs="Arial"/>
          <w:sz w:val="22"/>
        </w:rPr>
        <w:t>о</w:t>
      </w:r>
      <w:r>
        <w:rPr>
          <w:rFonts w:cs="Arial"/>
          <w:sz w:val="22"/>
        </w:rPr>
        <w:t>гии, способные возродить спрос и, следовательно, экономическое развитие.</w:t>
      </w:r>
    </w:p>
    <w:p w:rsidR="00DB27B1" w:rsidRDefault="00DB27B1" w:rsidP="00DB27B1">
      <w:pPr>
        <w:pStyle w:val="aa"/>
        <w:spacing w:before="60" w:line="240" w:lineRule="auto"/>
        <w:jc w:val="center"/>
        <w:rPr>
          <w:rFonts w:cs="Arial"/>
          <w:b/>
          <w:sz w:val="22"/>
        </w:rPr>
      </w:pPr>
      <w:r>
        <w:rPr>
          <w:rFonts w:cs="Arial"/>
          <w:b/>
          <w:sz w:val="22"/>
        </w:rPr>
        <w:br w:type="page"/>
      </w:r>
      <w:r w:rsidRPr="00466534">
        <w:rPr>
          <w:rFonts w:cs="Arial"/>
          <w:b/>
          <w:sz w:val="22"/>
        </w:rPr>
        <w:lastRenderedPageBreak/>
        <w:t>СОЗДАНИЕ И ИСПОЛЬЗОВАНИЕ ПЕРЕДОВЫХ ПРОИЗВОДСТВЕННЫХ ТЕХНОЛОГИЙ</w:t>
      </w:r>
    </w:p>
    <w:p w:rsidR="00DB27B1" w:rsidRDefault="00DB27B1" w:rsidP="00DB27B1">
      <w:pPr>
        <w:pStyle w:val="aa"/>
        <w:spacing w:after="20" w:line="240" w:lineRule="auto"/>
        <w:ind w:right="-142" w:firstLine="0"/>
        <w:jc w:val="center"/>
        <w:rPr>
          <w:rFonts w:cs="Arial"/>
          <w:sz w:val="22"/>
        </w:rPr>
      </w:pPr>
      <w:r>
        <w:rPr>
          <w:rFonts w:cs="Arial"/>
          <w:sz w:val="22"/>
        </w:rPr>
        <w:t>(</w:t>
      </w:r>
      <w:r w:rsidRPr="00466534">
        <w:rPr>
          <w:rFonts w:cs="Arial"/>
          <w:sz w:val="22"/>
        </w:rPr>
        <w:t>единиц</w:t>
      </w:r>
      <w:r>
        <w:rPr>
          <w:rFonts w:cs="Arial"/>
          <w:sz w:val="22"/>
        </w:rPr>
        <w:t>)</w:t>
      </w:r>
    </w:p>
    <w:tbl>
      <w:tblPr>
        <w:tblStyle w:val="afc"/>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4146"/>
        <w:gridCol w:w="1480"/>
        <w:gridCol w:w="1480"/>
        <w:gridCol w:w="1480"/>
        <w:gridCol w:w="1480"/>
        <w:gridCol w:w="1480"/>
        <w:gridCol w:w="1479"/>
        <w:gridCol w:w="1479"/>
      </w:tblGrid>
      <w:tr w:rsidR="00DB27B1" w:rsidRPr="00466534" w:rsidTr="00DB27B1">
        <w:tc>
          <w:tcPr>
            <w:tcW w:w="1429"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p>
        </w:tc>
        <w:tc>
          <w:tcPr>
            <w:tcW w:w="510"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r>
              <w:rPr>
                <w:rFonts w:cs="Arial"/>
                <w:szCs w:val="18"/>
              </w:rPr>
              <w:t>1998</w:t>
            </w:r>
          </w:p>
        </w:tc>
        <w:tc>
          <w:tcPr>
            <w:tcW w:w="510"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r>
              <w:rPr>
                <w:rFonts w:cs="Arial"/>
                <w:szCs w:val="18"/>
              </w:rPr>
              <w:t>2000</w:t>
            </w:r>
          </w:p>
        </w:tc>
        <w:tc>
          <w:tcPr>
            <w:tcW w:w="510"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r>
              <w:rPr>
                <w:rFonts w:cs="Arial"/>
                <w:szCs w:val="18"/>
              </w:rPr>
              <w:t>2002</w:t>
            </w:r>
          </w:p>
        </w:tc>
        <w:tc>
          <w:tcPr>
            <w:tcW w:w="510"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r>
              <w:rPr>
                <w:rFonts w:cs="Arial"/>
                <w:szCs w:val="18"/>
              </w:rPr>
              <w:t>2004</w:t>
            </w:r>
          </w:p>
        </w:tc>
        <w:tc>
          <w:tcPr>
            <w:tcW w:w="510"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r>
              <w:rPr>
                <w:rFonts w:cs="Arial"/>
                <w:szCs w:val="18"/>
              </w:rPr>
              <w:t>2006</w:t>
            </w:r>
          </w:p>
        </w:tc>
        <w:tc>
          <w:tcPr>
            <w:tcW w:w="510"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r>
              <w:rPr>
                <w:rFonts w:cs="Arial"/>
                <w:szCs w:val="18"/>
              </w:rPr>
              <w:t>2008</w:t>
            </w:r>
          </w:p>
        </w:tc>
        <w:tc>
          <w:tcPr>
            <w:tcW w:w="510" w:type="pct"/>
            <w:shd w:val="clear" w:color="auto" w:fill="C6D9F1" w:themeFill="text2" w:themeFillTint="33"/>
          </w:tcPr>
          <w:p w:rsidR="00DB27B1" w:rsidRPr="00466534" w:rsidRDefault="00DB27B1" w:rsidP="00DB27B1">
            <w:pPr>
              <w:pStyle w:val="aa"/>
              <w:spacing w:before="60" w:after="60" w:line="240" w:lineRule="auto"/>
              <w:ind w:right="-143" w:firstLine="0"/>
              <w:jc w:val="center"/>
              <w:rPr>
                <w:rFonts w:cs="Arial"/>
                <w:szCs w:val="18"/>
              </w:rPr>
            </w:pPr>
            <w:r>
              <w:rPr>
                <w:rFonts w:cs="Arial"/>
                <w:szCs w:val="18"/>
              </w:rPr>
              <w:t>2011</w:t>
            </w:r>
          </w:p>
        </w:tc>
      </w:tr>
      <w:tr w:rsidR="00DB27B1" w:rsidRPr="00466534" w:rsidTr="00DB27B1">
        <w:tc>
          <w:tcPr>
            <w:tcW w:w="1429" w:type="pct"/>
          </w:tcPr>
          <w:p w:rsidR="00DB27B1" w:rsidRPr="00EA39F9" w:rsidRDefault="00DB27B1" w:rsidP="00DB27B1">
            <w:pPr>
              <w:pStyle w:val="aa"/>
              <w:spacing w:before="40" w:after="40" w:line="240" w:lineRule="auto"/>
              <w:ind w:right="123" w:firstLine="0"/>
              <w:jc w:val="left"/>
              <w:rPr>
                <w:rFonts w:cs="Arial"/>
                <w:szCs w:val="18"/>
              </w:rPr>
            </w:pPr>
            <w:r>
              <w:rPr>
                <w:rFonts w:cs="Arial"/>
                <w:szCs w:val="18"/>
              </w:rPr>
              <w:t>Число организаций, создававших передовые производственные технологии</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3</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2</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4</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3</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2</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3</w:t>
            </w:r>
          </w:p>
        </w:tc>
      </w:tr>
      <w:tr w:rsidR="00DB27B1" w:rsidRPr="00466534" w:rsidTr="00DB27B1">
        <w:tc>
          <w:tcPr>
            <w:tcW w:w="1429" w:type="pct"/>
          </w:tcPr>
          <w:p w:rsidR="00DB27B1" w:rsidRPr="00EA39F9" w:rsidRDefault="00DB27B1" w:rsidP="00DB27B1">
            <w:pPr>
              <w:pStyle w:val="aa"/>
              <w:spacing w:before="40" w:after="40" w:line="240" w:lineRule="auto"/>
              <w:ind w:right="123" w:firstLine="0"/>
              <w:jc w:val="left"/>
              <w:rPr>
                <w:rFonts w:cs="Arial"/>
                <w:szCs w:val="18"/>
              </w:rPr>
            </w:pPr>
            <w:r>
              <w:rPr>
                <w:rFonts w:cs="Arial"/>
                <w:szCs w:val="18"/>
              </w:rPr>
              <w:t>Число созданных передовых произво</w:t>
            </w:r>
            <w:r>
              <w:rPr>
                <w:rFonts w:cs="Arial"/>
                <w:szCs w:val="18"/>
              </w:rPr>
              <w:t>д</w:t>
            </w:r>
            <w:r>
              <w:rPr>
                <w:rFonts w:cs="Arial"/>
                <w:szCs w:val="18"/>
              </w:rPr>
              <w:t>ственных технологий</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7</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4</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11</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6</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2</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16</w:t>
            </w:r>
          </w:p>
        </w:tc>
      </w:tr>
      <w:tr w:rsidR="00DB27B1" w:rsidRPr="00466534" w:rsidTr="00DB27B1">
        <w:tc>
          <w:tcPr>
            <w:tcW w:w="1429" w:type="pct"/>
          </w:tcPr>
          <w:p w:rsidR="00DB27B1" w:rsidRPr="00EA39F9" w:rsidRDefault="00DB27B1" w:rsidP="00DB27B1">
            <w:pPr>
              <w:pStyle w:val="aa"/>
              <w:spacing w:before="40" w:after="40" w:line="240" w:lineRule="auto"/>
              <w:ind w:right="123" w:firstLine="0"/>
              <w:jc w:val="left"/>
              <w:rPr>
                <w:rFonts w:cs="Arial"/>
                <w:szCs w:val="18"/>
              </w:rPr>
            </w:pPr>
            <w:r>
              <w:rPr>
                <w:rFonts w:cs="Arial"/>
                <w:szCs w:val="18"/>
              </w:rPr>
              <w:t>Число организаций, использовавших пер</w:t>
            </w:r>
            <w:r>
              <w:rPr>
                <w:rFonts w:cs="Arial"/>
                <w:szCs w:val="18"/>
              </w:rPr>
              <w:t>е</w:t>
            </w:r>
            <w:r>
              <w:rPr>
                <w:rFonts w:cs="Arial"/>
                <w:szCs w:val="18"/>
              </w:rPr>
              <w:t>довые производственные технологии</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7</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9</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29</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58</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96</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97</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103</w:t>
            </w:r>
          </w:p>
        </w:tc>
      </w:tr>
      <w:tr w:rsidR="00DB27B1" w:rsidRPr="00466534" w:rsidTr="00DB27B1">
        <w:tc>
          <w:tcPr>
            <w:tcW w:w="1429" w:type="pct"/>
          </w:tcPr>
          <w:p w:rsidR="00DB27B1" w:rsidRPr="00EA39F9" w:rsidRDefault="00DB27B1" w:rsidP="00DB27B1">
            <w:pPr>
              <w:pStyle w:val="aa"/>
              <w:spacing w:before="40" w:after="40" w:line="240" w:lineRule="auto"/>
              <w:ind w:right="123" w:firstLine="0"/>
              <w:jc w:val="left"/>
              <w:rPr>
                <w:rFonts w:cs="Arial"/>
                <w:szCs w:val="18"/>
              </w:rPr>
            </w:pPr>
            <w:r>
              <w:rPr>
                <w:rFonts w:cs="Arial"/>
                <w:szCs w:val="18"/>
              </w:rPr>
              <w:t>Число использованных передовых прои</w:t>
            </w:r>
            <w:r>
              <w:rPr>
                <w:rFonts w:cs="Arial"/>
                <w:szCs w:val="18"/>
              </w:rPr>
              <w:t>з</w:t>
            </w:r>
            <w:r>
              <w:rPr>
                <w:rFonts w:cs="Arial"/>
                <w:szCs w:val="18"/>
              </w:rPr>
              <w:t>водственных технологий</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546</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624</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922</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1448</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1727</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1482</w:t>
            </w:r>
          </w:p>
        </w:tc>
        <w:tc>
          <w:tcPr>
            <w:tcW w:w="510" w:type="pct"/>
            <w:vAlign w:val="center"/>
          </w:tcPr>
          <w:p w:rsidR="00DB27B1" w:rsidRPr="00466534" w:rsidRDefault="00DB27B1" w:rsidP="00DB27B1">
            <w:pPr>
              <w:pStyle w:val="aa"/>
              <w:spacing w:before="40" w:after="40" w:line="240" w:lineRule="auto"/>
              <w:ind w:right="307" w:firstLine="0"/>
              <w:jc w:val="right"/>
              <w:rPr>
                <w:rFonts w:cs="Arial"/>
                <w:szCs w:val="18"/>
              </w:rPr>
            </w:pPr>
            <w:r>
              <w:rPr>
                <w:rFonts w:cs="Arial"/>
                <w:szCs w:val="18"/>
              </w:rPr>
              <w:t>1685</w:t>
            </w:r>
          </w:p>
        </w:tc>
      </w:tr>
    </w:tbl>
    <w:p w:rsidR="00DB27B1" w:rsidRPr="0019679D" w:rsidRDefault="00DB27B1" w:rsidP="00DB27B1">
      <w:pPr>
        <w:pStyle w:val="aa"/>
        <w:spacing w:before="120" w:line="240" w:lineRule="auto"/>
        <w:ind w:right="-142"/>
        <w:rPr>
          <w:rFonts w:cs="Arial"/>
          <w:sz w:val="22"/>
        </w:rPr>
      </w:pPr>
      <w:r>
        <w:rPr>
          <w:rFonts w:cs="Arial"/>
          <w:sz w:val="22"/>
        </w:rPr>
        <w:t>В области успешно внедряются современные информационные и коммуникационные технологии (ИКТ): персональные компьютеры, локальные и глобальные сети (включая сеть Интернет), электронная почта. Число компьютеризированных организаций в области ежего</w:t>
      </w:r>
      <w:r>
        <w:rPr>
          <w:rFonts w:cs="Arial"/>
          <w:sz w:val="22"/>
        </w:rPr>
        <w:t>д</w:t>
      </w:r>
      <w:r>
        <w:rPr>
          <w:rFonts w:cs="Arial"/>
          <w:sz w:val="22"/>
        </w:rPr>
        <w:t>но растет. Если в 2002 году из числа обследованных организаций</w:t>
      </w:r>
      <w:proofErr w:type="gramStart"/>
      <w:r>
        <w:rPr>
          <w:rFonts w:cs="Arial"/>
          <w:sz w:val="22"/>
          <w:vertAlign w:val="superscript"/>
        </w:rPr>
        <w:t>1</w:t>
      </w:r>
      <w:proofErr w:type="gramEnd"/>
      <w:r>
        <w:rPr>
          <w:rFonts w:cs="Arial"/>
          <w:sz w:val="22"/>
          <w:vertAlign w:val="superscript"/>
        </w:rPr>
        <w:t>)</w:t>
      </w:r>
      <w:r>
        <w:rPr>
          <w:rFonts w:cs="Arial"/>
          <w:sz w:val="22"/>
        </w:rPr>
        <w:t xml:space="preserve"> 39,6% не использовали персональные компьютеры, то в 2007 году т</w:t>
      </w:r>
      <w:r>
        <w:rPr>
          <w:rFonts w:cs="Arial"/>
          <w:sz w:val="22"/>
        </w:rPr>
        <w:t>а</w:t>
      </w:r>
      <w:r>
        <w:rPr>
          <w:rFonts w:cs="Arial"/>
          <w:sz w:val="22"/>
        </w:rPr>
        <w:t>ких организаций было 12,9%, в 2008 году – 11,5%,  в 2010 году – 9,4%, в 2011 году – 8,9,%.</w:t>
      </w:r>
    </w:p>
    <w:p w:rsidR="00DB27B1" w:rsidRDefault="00DB27B1" w:rsidP="00DB27B1">
      <w:pPr>
        <w:pStyle w:val="8"/>
        <w:rPr>
          <w:sz w:val="22"/>
        </w:rPr>
      </w:pPr>
      <w:r>
        <w:rPr>
          <w:sz w:val="22"/>
        </w:rPr>
        <w:t>ДИНАМИКА ЧИСЛА КРУПНЫХ И СРЕДНИХ ОРГАНИЗАЦИЙ ОБЛАСТИ, ИСПОЛЬЗОВАВШИХ ИКТ</w:t>
      </w:r>
    </w:p>
    <w:p w:rsidR="00DB27B1" w:rsidRDefault="00DB27B1" w:rsidP="00DB27B1">
      <w:pPr>
        <w:pStyle w:val="aa"/>
        <w:spacing w:before="120" w:line="240" w:lineRule="auto"/>
        <w:ind w:right="-284" w:firstLine="0"/>
        <w:rPr>
          <w:rFonts w:cs="Arial"/>
          <w:sz w:val="22"/>
          <w:lang w:val="en-US"/>
        </w:rPr>
      </w:pPr>
      <w:r w:rsidRPr="00E70D55">
        <w:rPr>
          <w:rFonts w:cs="Arial"/>
          <w:noProof/>
          <w:sz w:val="22"/>
          <w:bdr w:val="double" w:sz="4" w:space="0" w:color="auto"/>
        </w:rPr>
        <w:drawing>
          <wp:inline distT="0" distB="0" distL="0" distR="0">
            <wp:extent cx="9090837" cy="1935126"/>
            <wp:effectExtent l="0" t="0" r="0" b="0"/>
            <wp:docPr id="67"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DB27B1" w:rsidRDefault="00DB27B1" w:rsidP="00DB27B1">
      <w:pPr>
        <w:pStyle w:val="aa"/>
        <w:spacing w:before="120" w:line="240" w:lineRule="auto"/>
        <w:ind w:right="-142"/>
        <w:rPr>
          <w:rFonts w:cs="Arial"/>
          <w:sz w:val="22"/>
        </w:rPr>
      </w:pPr>
      <w:r>
        <w:rPr>
          <w:rFonts w:cs="Arial"/>
          <w:sz w:val="22"/>
        </w:rPr>
        <w:t>Развитие информационных и коммуникационных технологий требует от организаций соответствующих затрат. В 2011 году затраты на эти цели в организациях, использовавших ИКТ, составили 1926,0 млн. рублей (в 2002 году – 945,8 млн. рублей). Примерно треть расх</w:t>
      </w:r>
      <w:r>
        <w:rPr>
          <w:rFonts w:cs="Arial"/>
          <w:sz w:val="22"/>
        </w:rPr>
        <w:t>о</w:t>
      </w:r>
      <w:r>
        <w:rPr>
          <w:rFonts w:cs="Arial"/>
          <w:sz w:val="22"/>
        </w:rPr>
        <w:t>дов приходится на оплату услуг электросвязи (из нее оплата доступа к Интернету составила 8,6%).</w:t>
      </w:r>
    </w:p>
    <w:p w:rsidR="00DB27B1" w:rsidRDefault="00406629" w:rsidP="00DB27B1">
      <w:pPr>
        <w:pStyle w:val="4"/>
        <w:ind w:firstLine="720"/>
        <w:jc w:val="both"/>
        <w:rPr>
          <w:rFonts w:cs="Arial"/>
          <w:b w:val="0"/>
          <w:sz w:val="22"/>
          <w:vertAlign w:val="superscript"/>
        </w:rPr>
      </w:pPr>
      <w:r>
        <w:rPr>
          <w:rFonts w:cs="Arial"/>
          <w:b w:val="0"/>
          <w:noProof/>
          <w:sz w:val="22"/>
          <w:vertAlign w:val="superscript"/>
        </w:rPr>
        <w:pict>
          <v:line id="_x0000_s1147" style="position:absolute;left:0;text-align:left;z-index:251776000" from="2.5pt,8.5pt" to="152.55pt,8.5pt"/>
        </w:pict>
      </w:r>
    </w:p>
    <w:p w:rsidR="00DB27B1" w:rsidRPr="00AB00B2" w:rsidRDefault="00DB27B1" w:rsidP="00DB27B1">
      <w:pPr>
        <w:pStyle w:val="aa"/>
        <w:spacing w:line="240" w:lineRule="auto"/>
        <w:ind w:left="284" w:right="-143" w:hanging="284"/>
        <w:rPr>
          <w:rFonts w:cs="Arial"/>
          <w:sz w:val="22"/>
        </w:rPr>
      </w:pPr>
      <w:r w:rsidRPr="00AB00B2">
        <w:rPr>
          <w:rFonts w:cs="Arial"/>
          <w:sz w:val="22"/>
          <w:vertAlign w:val="superscript"/>
        </w:rPr>
        <w:t>1)</w:t>
      </w:r>
      <w:r w:rsidRPr="00AB00B2">
        <w:rPr>
          <w:rFonts w:cs="Arial"/>
          <w:sz w:val="22"/>
        </w:rPr>
        <w:t xml:space="preserve">  Не обследуются организации видов деятельности: сельское хозяйство; деятельность по управлению и эксплуатации тюрем; деятел</w:t>
      </w:r>
      <w:r w:rsidRPr="00AB00B2">
        <w:rPr>
          <w:rFonts w:cs="Arial"/>
          <w:sz w:val="22"/>
        </w:rPr>
        <w:t>ь</w:t>
      </w:r>
      <w:r w:rsidRPr="00AB00B2">
        <w:rPr>
          <w:rFonts w:cs="Arial"/>
          <w:sz w:val="22"/>
        </w:rPr>
        <w:t>ность по обеспечению общественного порядка и безопасности; дошкольное, основное общее и среднее профессиональное образов</w:t>
      </w:r>
      <w:r w:rsidRPr="00AB00B2">
        <w:rPr>
          <w:rFonts w:cs="Arial"/>
          <w:sz w:val="22"/>
        </w:rPr>
        <w:t>а</w:t>
      </w:r>
      <w:r w:rsidRPr="00AB00B2">
        <w:rPr>
          <w:rFonts w:cs="Arial"/>
          <w:sz w:val="22"/>
        </w:rPr>
        <w:t>ние; удаление сточных вод и отходов; деятельность общественных объединений; предоставление персональных услуг и услуг по вед</w:t>
      </w:r>
      <w:r w:rsidRPr="00AB00B2">
        <w:rPr>
          <w:rFonts w:cs="Arial"/>
          <w:sz w:val="22"/>
        </w:rPr>
        <w:t>е</w:t>
      </w:r>
      <w:r w:rsidRPr="00AB00B2">
        <w:rPr>
          <w:rFonts w:cs="Arial"/>
          <w:sz w:val="22"/>
        </w:rPr>
        <w:t>нию домашнего хозяйства.</w:t>
      </w:r>
    </w:p>
    <w:p w:rsidR="00DB27B1" w:rsidRPr="003B737C" w:rsidRDefault="00DB27B1" w:rsidP="00DB27B1">
      <w:pPr>
        <w:pStyle w:val="8"/>
        <w:spacing w:after="160"/>
        <w:rPr>
          <w:sz w:val="22"/>
        </w:rPr>
      </w:pPr>
      <w:r>
        <w:rPr>
          <w:sz w:val="22"/>
        </w:rPr>
        <w:lastRenderedPageBreak/>
        <w:t>ОСНОВНЫЕ ПОКАЗАТЕЛИ ИНФОРМАЦИОННЫХ И КОММУНИКАЦИОННЫХ ТЕХНОЛОГИЙ</w:t>
      </w:r>
    </w:p>
    <w:tbl>
      <w:tblPr>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000" w:firstRow="0" w:lastRow="0" w:firstColumn="0" w:lastColumn="0" w:noHBand="0" w:noVBand="0"/>
      </w:tblPr>
      <w:tblGrid>
        <w:gridCol w:w="6554"/>
        <w:gridCol w:w="2648"/>
        <w:gridCol w:w="2651"/>
        <w:gridCol w:w="2651"/>
      </w:tblGrid>
      <w:tr w:rsidR="00DB27B1" w:rsidRPr="00725243" w:rsidTr="00F15D5C">
        <w:tc>
          <w:tcPr>
            <w:tcW w:w="2259" w:type="pct"/>
            <w:shd w:val="clear" w:color="auto" w:fill="C6D9F1" w:themeFill="text2" w:themeFillTint="33"/>
          </w:tcPr>
          <w:p w:rsidR="00DB27B1" w:rsidRPr="00725243" w:rsidRDefault="00DB27B1" w:rsidP="00F15D5C">
            <w:pPr>
              <w:pStyle w:val="aa"/>
              <w:spacing w:before="40" w:after="40" w:line="240" w:lineRule="auto"/>
              <w:ind w:firstLine="0"/>
              <w:jc w:val="center"/>
              <w:rPr>
                <w:rFonts w:cs="Arial"/>
                <w:szCs w:val="18"/>
              </w:rPr>
            </w:pPr>
          </w:p>
        </w:tc>
        <w:tc>
          <w:tcPr>
            <w:tcW w:w="913" w:type="pct"/>
            <w:shd w:val="clear" w:color="auto" w:fill="C6D9F1" w:themeFill="text2" w:themeFillTint="33"/>
          </w:tcPr>
          <w:p w:rsidR="00DB27B1" w:rsidRPr="00725243" w:rsidRDefault="00DB27B1" w:rsidP="00F15D5C">
            <w:pPr>
              <w:pStyle w:val="aa"/>
              <w:spacing w:before="40" w:after="40" w:line="240" w:lineRule="auto"/>
              <w:ind w:firstLine="0"/>
              <w:jc w:val="center"/>
              <w:rPr>
                <w:rFonts w:cs="Arial"/>
                <w:szCs w:val="18"/>
              </w:rPr>
            </w:pPr>
            <w:r w:rsidRPr="00725243">
              <w:rPr>
                <w:rFonts w:cs="Arial"/>
                <w:szCs w:val="18"/>
              </w:rPr>
              <w:t>2002</w:t>
            </w:r>
          </w:p>
        </w:tc>
        <w:tc>
          <w:tcPr>
            <w:tcW w:w="914" w:type="pct"/>
            <w:shd w:val="clear" w:color="auto" w:fill="C6D9F1" w:themeFill="text2" w:themeFillTint="33"/>
          </w:tcPr>
          <w:p w:rsidR="00DB27B1" w:rsidRPr="00725243" w:rsidRDefault="00DB27B1" w:rsidP="00F15D5C">
            <w:pPr>
              <w:pStyle w:val="aa"/>
              <w:spacing w:before="40" w:after="40" w:line="240" w:lineRule="auto"/>
              <w:ind w:firstLine="0"/>
              <w:jc w:val="center"/>
              <w:rPr>
                <w:rFonts w:cs="Arial"/>
                <w:szCs w:val="18"/>
              </w:rPr>
            </w:pPr>
            <w:r w:rsidRPr="00725243">
              <w:rPr>
                <w:rFonts w:cs="Arial"/>
                <w:szCs w:val="18"/>
              </w:rPr>
              <w:t>2005</w:t>
            </w:r>
          </w:p>
        </w:tc>
        <w:tc>
          <w:tcPr>
            <w:tcW w:w="914" w:type="pct"/>
            <w:shd w:val="clear" w:color="auto" w:fill="C6D9F1" w:themeFill="text2" w:themeFillTint="33"/>
          </w:tcPr>
          <w:p w:rsidR="00DB27B1" w:rsidRPr="00725243" w:rsidRDefault="00DB27B1" w:rsidP="00F15D5C">
            <w:pPr>
              <w:pStyle w:val="aa"/>
              <w:spacing w:before="40" w:after="40" w:line="240" w:lineRule="auto"/>
              <w:ind w:firstLine="0"/>
              <w:jc w:val="center"/>
              <w:rPr>
                <w:rFonts w:cs="Arial"/>
                <w:szCs w:val="18"/>
              </w:rPr>
            </w:pPr>
            <w:r w:rsidRPr="00725243">
              <w:rPr>
                <w:rFonts w:cs="Arial"/>
                <w:szCs w:val="18"/>
              </w:rPr>
              <w:t>201</w:t>
            </w:r>
            <w:r>
              <w:rPr>
                <w:rFonts w:cs="Arial"/>
                <w:szCs w:val="18"/>
              </w:rPr>
              <w:t>1</w:t>
            </w:r>
          </w:p>
        </w:tc>
      </w:tr>
      <w:tr w:rsidR="00DB27B1" w:rsidRPr="00725243" w:rsidTr="00F15D5C">
        <w:tc>
          <w:tcPr>
            <w:tcW w:w="2259" w:type="pct"/>
          </w:tcPr>
          <w:p w:rsidR="00DB27B1" w:rsidRPr="003B737C" w:rsidRDefault="00DB27B1" w:rsidP="00F15D5C">
            <w:pPr>
              <w:pStyle w:val="aa"/>
              <w:spacing w:before="40" w:after="40" w:line="240" w:lineRule="auto"/>
              <w:ind w:firstLine="0"/>
              <w:jc w:val="left"/>
              <w:rPr>
                <w:rFonts w:cs="Arial"/>
                <w:szCs w:val="18"/>
              </w:rPr>
            </w:pPr>
            <w:r>
              <w:rPr>
                <w:rFonts w:cs="Arial"/>
                <w:szCs w:val="18"/>
              </w:rPr>
              <w:t>Число обследованных организаций, единиц</w:t>
            </w:r>
          </w:p>
        </w:tc>
        <w:tc>
          <w:tcPr>
            <w:tcW w:w="913" w:type="pct"/>
            <w:vAlign w:val="bottom"/>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1820</w:t>
            </w:r>
          </w:p>
        </w:tc>
        <w:tc>
          <w:tcPr>
            <w:tcW w:w="914" w:type="pct"/>
            <w:vAlign w:val="bottom"/>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1994</w:t>
            </w:r>
          </w:p>
        </w:tc>
        <w:tc>
          <w:tcPr>
            <w:tcW w:w="914" w:type="pct"/>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1726</w:t>
            </w:r>
          </w:p>
        </w:tc>
      </w:tr>
      <w:tr w:rsidR="00DB27B1" w:rsidRPr="00725243" w:rsidTr="00F15D5C">
        <w:tc>
          <w:tcPr>
            <w:tcW w:w="2259" w:type="pct"/>
          </w:tcPr>
          <w:p w:rsidR="00DB27B1" w:rsidRPr="003B737C" w:rsidRDefault="00DB27B1" w:rsidP="00F15D5C">
            <w:pPr>
              <w:pStyle w:val="aa"/>
              <w:spacing w:before="40" w:after="40" w:line="240" w:lineRule="auto"/>
              <w:ind w:firstLine="0"/>
              <w:jc w:val="left"/>
              <w:rPr>
                <w:rFonts w:cs="Arial"/>
                <w:szCs w:val="18"/>
              </w:rPr>
            </w:pPr>
            <w:r>
              <w:rPr>
                <w:rFonts w:cs="Arial"/>
                <w:szCs w:val="18"/>
              </w:rPr>
              <w:t>Число организаций, использующих компьютеры, единиц</w:t>
            </w:r>
          </w:p>
        </w:tc>
        <w:tc>
          <w:tcPr>
            <w:tcW w:w="913" w:type="pct"/>
            <w:vAlign w:val="bottom"/>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1100</w:t>
            </w:r>
          </w:p>
        </w:tc>
        <w:tc>
          <w:tcPr>
            <w:tcW w:w="914" w:type="pct"/>
            <w:vAlign w:val="bottom"/>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1565</w:t>
            </w:r>
          </w:p>
        </w:tc>
        <w:tc>
          <w:tcPr>
            <w:tcW w:w="914" w:type="pct"/>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1572</w:t>
            </w:r>
          </w:p>
        </w:tc>
      </w:tr>
      <w:tr w:rsidR="00DB27B1" w:rsidRPr="00725243" w:rsidTr="00F15D5C">
        <w:tc>
          <w:tcPr>
            <w:tcW w:w="2259" w:type="pct"/>
          </w:tcPr>
          <w:p w:rsidR="00DB27B1" w:rsidRPr="003B737C" w:rsidRDefault="00DB27B1" w:rsidP="00F15D5C">
            <w:pPr>
              <w:pStyle w:val="aa"/>
              <w:spacing w:before="40" w:after="40" w:line="240" w:lineRule="auto"/>
              <w:ind w:firstLine="0"/>
              <w:jc w:val="left"/>
              <w:rPr>
                <w:rFonts w:cs="Arial"/>
                <w:szCs w:val="18"/>
              </w:rPr>
            </w:pPr>
            <w:r w:rsidRPr="00725243">
              <w:rPr>
                <w:rFonts w:cs="Arial"/>
                <w:szCs w:val="18"/>
              </w:rPr>
              <w:t>Число персональных компьютеров</w:t>
            </w:r>
            <w:r>
              <w:rPr>
                <w:rFonts w:cs="Arial"/>
                <w:szCs w:val="18"/>
              </w:rPr>
              <w:t>, штук</w:t>
            </w:r>
          </w:p>
        </w:tc>
        <w:tc>
          <w:tcPr>
            <w:tcW w:w="913" w:type="pct"/>
            <w:vAlign w:val="bottom"/>
          </w:tcPr>
          <w:p w:rsidR="00DB27B1" w:rsidRPr="00725243" w:rsidRDefault="00DB27B1" w:rsidP="00F15D5C">
            <w:pPr>
              <w:pStyle w:val="aa"/>
              <w:spacing w:before="40" w:after="40" w:line="240" w:lineRule="auto"/>
              <w:ind w:right="764" w:firstLine="0"/>
              <w:jc w:val="right"/>
              <w:rPr>
                <w:rFonts w:cs="Arial"/>
                <w:szCs w:val="18"/>
              </w:rPr>
            </w:pPr>
            <w:r w:rsidRPr="00725243">
              <w:rPr>
                <w:rFonts w:cs="Arial"/>
                <w:szCs w:val="18"/>
              </w:rPr>
              <w:t>30023</w:t>
            </w:r>
          </w:p>
        </w:tc>
        <w:tc>
          <w:tcPr>
            <w:tcW w:w="914" w:type="pct"/>
            <w:vAlign w:val="bottom"/>
          </w:tcPr>
          <w:p w:rsidR="00DB27B1" w:rsidRPr="00725243" w:rsidRDefault="00DB27B1" w:rsidP="00F15D5C">
            <w:pPr>
              <w:pStyle w:val="aa"/>
              <w:spacing w:before="40" w:after="40" w:line="240" w:lineRule="auto"/>
              <w:ind w:right="764" w:firstLine="0"/>
              <w:jc w:val="right"/>
              <w:rPr>
                <w:rFonts w:cs="Arial"/>
                <w:szCs w:val="18"/>
              </w:rPr>
            </w:pPr>
            <w:r w:rsidRPr="00725243">
              <w:rPr>
                <w:rFonts w:cs="Arial"/>
                <w:szCs w:val="18"/>
              </w:rPr>
              <w:t>47759</w:t>
            </w:r>
          </w:p>
        </w:tc>
        <w:tc>
          <w:tcPr>
            <w:tcW w:w="914" w:type="pct"/>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81643</w:t>
            </w:r>
          </w:p>
        </w:tc>
      </w:tr>
      <w:tr w:rsidR="00DB27B1" w:rsidRPr="00725243" w:rsidTr="00F15D5C">
        <w:tc>
          <w:tcPr>
            <w:tcW w:w="2259" w:type="pct"/>
          </w:tcPr>
          <w:p w:rsidR="00DB27B1" w:rsidRPr="00725243" w:rsidRDefault="00DB27B1" w:rsidP="00F15D5C">
            <w:pPr>
              <w:pStyle w:val="aa"/>
              <w:spacing w:before="40" w:after="40" w:line="240" w:lineRule="auto"/>
              <w:ind w:left="284" w:firstLine="0"/>
              <w:jc w:val="left"/>
              <w:rPr>
                <w:rFonts w:cs="Arial"/>
                <w:szCs w:val="18"/>
              </w:rPr>
            </w:pPr>
            <w:r w:rsidRPr="00725243">
              <w:rPr>
                <w:rFonts w:cs="Arial"/>
                <w:szCs w:val="18"/>
              </w:rPr>
              <w:t>из них приобрете</w:t>
            </w:r>
            <w:r>
              <w:rPr>
                <w:rFonts w:cs="Arial"/>
                <w:szCs w:val="18"/>
              </w:rPr>
              <w:t>но</w:t>
            </w:r>
            <w:r w:rsidRPr="00725243">
              <w:rPr>
                <w:rFonts w:cs="Arial"/>
                <w:szCs w:val="18"/>
              </w:rPr>
              <w:t xml:space="preserve"> в отчетном году</w:t>
            </w:r>
          </w:p>
        </w:tc>
        <w:tc>
          <w:tcPr>
            <w:tcW w:w="913" w:type="pct"/>
            <w:vAlign w:val="bottom"/>
          </w:tcPr>
          <w:p w:rsidR="00DB27B1" w:rsidRPr="00725243" w:rsidRDefault="00DB27B1" w:rsidP="00F15D5C">
            <w:pPr>
              <w:pStyle w:val="aa"/>
              <w:spacing w:before="40" w:after="40" w:line="240" w:lineRule="auto"/>
              <w:ind w:right="764" w:firstLine="0"/>
              <w:jc w:val="right"/>
              <w:rPr>
                <w:rFonts w:cs="Arial"/>
                <w:szCs w:val="18"/>
              </w:rPr>
            </w:pPr>
            <w:r w:rsidRPr="00725243">
              <w:rPr>
                <w:rFonts w:cs="Arial"/>
                <w:szCs w:val="18"/>
              </w:rPr>
              <w:t>5415</w:t>
            </w:r>
          </w:p>
        </w:tc>
        <w:tc>
          <w:tcPr>
            <w:tcW w:w="914" w:type="pct"/>
            <w:vAlign w:val="bottom"/>
          </w:tcPr>
          <w:p w:rsidR="00DB27B1" w:rsidRPr="00725243" w:rsidRDefault="00DB27B1" w:rsidP="00F15D5C">
            <w:pPr>
              <w:pStyle w:val="aa"/>
              <w:spacing w:before="40" w:after="40" w:line="240" w:lineRule="auto"/>
              <w:ind w:right="764" w:firstLine="0"/>
              <w:jc w:val="right"/>
              <w:rPr>
                <w:rFonts w:cs="Arial"/>
                <w:szCs w:val="18"/>
              </w:rPr>
            </w:pPr>
            <w:r w:rsidRPr="00725243">
              <w:rPr>
                <w:rFonts w:cs="Arial"/>
                <w:szCs w:val="18"/>
              </w:rPr>
              <w:t>8238</w:t>
            </w:r>
          </w:p>
        </w:tc>
        <w:tc>
          <w:tcPr>
            <w:tcW w:w="914" w:type="pct"/>
          </w:tcPr>
          <w:p w:rsidR="00DB27B1" w:rsidRPr="00D71E36" w:rsidRDefault="00DB27B1" w:rsidP="00F15D5C">
            <w:pPr>
              <w:ind w:right="764"/>
              <w:jc w:val="right"/>
              <w:rPr>
                <w:sz w:val="18"/>
                <w:szCs w:val="18"/>
              </w:rPr>
            </w:pPr>
            <w:r w:rsidRPr="00D71E36">
              <w:rPr>
                <w:rFonts w:ascii="Arial" w:hAnsi="Arial" w:cs="Arial"/>
                <w:sz w:val="18"/>
                <w:szCs w:val="18"/>
              </w:rPr>
              <w:t>10739</w:t>
            </w:r>
          </w:p>
        </w:tc>
      </w:tr>
      <w:tr w:rsidR="00DB27B1" w:rsidRPr="00725243" w:rsidTr="00F15D5C">
        <w:tc>
          <w:tcPr>
            <w:tcW w:w="2259" w:type="pct"/>
          </w:tcPr>
          <w:p w:rsidR="00DB27B1" w:rsidRPr="00376EF8" w:rsidRDefault="00DB27B1" w:rsidP="00F15D5C">
            <w:pPr>
              <w:pStyle w:val="aa"/>
              <w:spacing w:before="40" w:after="40" w:line="240" w:lineRule="auto"/>
              <w:ind w:firstLine="0"/>
              <w:jc w:val="left"/>
              <w:rPr>
                <w:rFonts w:cs="Arial"/>
                <w:szCs w:val="18"/>
              </w:rPr>
            </w:pPr>
            <w:r>
              <w:rPr>
                <w:rFonts w:cs="Arial"/>
                <w:szCs w:val="18"/>
              </w:rPr>
              <w:t>Число персональных компьютеров, имеющих доступ к сети Интернет, штук</w:t>
            </w:r>
          </w:p>
        </w:tc>
        <w:tc>
          <w:tcPr>
            <w:tcW w:w="913" w:type="pct"/>
            <w:vAlign w:val="bottom"/>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5213</w:t>
            </w:r>
          </w:p>
        </w:tc>
        <w:tc>
          <w:tcPr>
            <w:tcW w:w="914" w:type="pct"/>
            <w:vAlign w:val="bottom"/>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10264</w:t>
            </w:r>
          </w:p>
        </w:tc>
        <w:tc>
          <w:tcPr>
            <w:tcW w:w="914" w:type="pct"/>
          </w:tcPr>
          <w:p w:rsidR="00DB27B1" w:rsidRDefault="00DB27B1" w:rsidP="00F15D5C">
            <w:pPr>
              <w:pStyle w:val="aa"/>
              <w:spacing w:before="40" w:after="40" w:line="240" w:lineRule="auto"/>
              <w:ind w:right="764" w:firstLine="0"/>
              <w:jc w:val="right"/>
              <w:rPr>
                <w:rFonts w:cs="Arial"/>
                <w:szCs w:val="18"/>
              </w:rPr>
            </w:pPr>
            <w:r>
              <w:rPr>
                <w:rFonts w:cs="Arial"/>
                <w:szCs w:val="18"/>
              </w:rPr>
              <w:t>37830</w:t>
            </w:r>
          </w:p>
        </w:tc>
      </w:tr>
      <w:tr w:rsidR="00DB27B1" w:rsidRPr="00725243" w:rsidTr="00F15D5C">
        <w:tc>
          <w:tcPr>
            <w:tcW w:w="2259" w:type="pct"/>
          </w:tcPr>
          <w:p w:rsidR="00DB27B1" w:rsidRPr="00376EF8" w:rsidRDefault="00DB27B1" w:rsidP="00F15D5C">
            <w:pPr>
              <w:pStyle w:val="aa"/>
              <w:spacing w:before="40" w:after="40" w:line="240" w:lineRule="auto"/>
              <w:ind w:firstLine="0"/>
              <w:jc w:val="left"/>
              <w:rPr>
                <w:rFonts w:cs="Arial"/>
                <w:szCs w:val="18"/>
              </w:rPr>
            </w:pPr>
            <w:r w:rsidRPr="00725243">
              <w:rPr>
                <w:rFonts w:cs="Arial"/>
                <w:szCs w:val="18"/>
              </w:rPr>
              <w:t>Число персональных компьютеров в расчете на 100 работников</w:t>
            </w:r>
            <w:r>
              <w:rPr>
                <w:rFonts w:cs="Arial"/>
                <w:szCs w:val="18"/>
              </w:rPr>
              <w:t xml:space="preserve"> обслед</w:t>
            </w:r>
            <w:r>
              <w:rPr>
                <w:rFonts w:cs="Arial"/>
                <w:szCs w:val="18"/>
              </w:rPr>
              <w:t>о</w:t>
            </w:r>
            <w:r>
              <w:rPr>
                <w:rFonts w:cs="Arial"/>
                <w:szCs w:val="18"/>
              </w:rPr>
              <w:t>ванных организаций, штук</w:t>
            </w:r>
          </w:p>
        </w:tc>
        <w:tc>
          <w:tcPr>
            <w:tcW w:w="913" w:type="pct"/>
            <w:vAlign w:val="bottom"/>
          </w:tcPr>
          <w:p w:rsidR="00DB27B1" w:rsidRPr="00725243" w:rsidRDefault="00DB27B1" w:rsidP="00F15D5C">
            <w:pPr>
              <w:pStyle w:val="aa"/>
              <w:spacing w:before="40" w:after="40" w:line="240" w:lineRule="auto"/>
              <w:ind w:right="764" w:firstLine="0"/>
              <w:jc w:val="right"/>
              <w:rPr>
                <w:rFonts w:cs="Arial"/>
                <w:szCs w:val="18"/>
              </w:rPr>
            </w:pPr>
            <w:r w:rsidRPr="00725243">
              <w:rPr>
                <w:rFonts w:cs="Arial"/>
                <w:szCs w:val="18"/>
              </w:rPr>
              <w:t>10</w:t>
            </w:r>
          </w:p>
        </w:tc>
        <w:tc>
          <w:tcPr>
            <w:tcW w:w="914" w:type="pct"/>
            <w:vAlign w:val="bottom"/>
          </w:tcPr>
          <w:p w:rsidR="00DB27B1" w:rsidRPr="00725243" w:rsidRDefault="00DB27B1" w:rsidP="00F15D5C">
            <w:pPr>
              <w:pStyle w:val="aa"/>
              <w:spacing w:before="40" w:after="40" w:line="240" w:lineRule="auto"/>
              <w:ind w:right="764" w:firstLine="0"/>
              <w:jc w:val="right"/>
              <w:rPr>
                <w:rFonts w:cs="Arial"/>
                <w:szCs w:val="18"/>
              </w:rPr>
            </w:pPr>
            <w:r w:rsidRPr="00725243">
              <w:rPr>
                <w:rFonts w:cs="Arial"/>
                <w:szCs w:val="18"/>
              </w:rPr>
              <w:t>18</w:t>
            </w:r>
          </w:p>
        </w:tc>
        <w:tc>
          <w:tcPr>
            <w:tcW w:w="914" w:type="pct"/>
            <w:vAlign w:val="bottom"/>
          </w:tcPr>
          <w:p w:rsidR="00DB27B1" w:rsidRPr="00725243" w:rsidRDefault="00DB27B1" w:rsidP="00F15D5C">
            <w:pPr>
              <w:pStyle w:val="aa"/>
              <w:spacing w:before="40" w:after="40" w:line="240" w:lineRule="auto"/>
              <w:ind w:right="764" w:firstLine="0"/>
              <w:jc w:val="right"/>
              <w:rPr>
                <w:rFonts w:cs="Arial"/>
                <w:szCs w:val="18"/>
              </w:rPr>
            </w:pPr>
            <w:r>
              <w:rPr>
                <w:rFonts w:cs="Arial"/>
                <w:szCs w:val="18"/>
              </w:rPr>
              <w:t>34</w:t>
            </w:r>
          </w:p>
        </w:tc>
      </w:tr>
    </w:tbl>
    <w:p w:rsidR="00DB27B1" w:rsidRPr="00157D73" w:rsidRDefault="00DB27B1" w:rsidP="00DB27B1">
      <w:pPr>
        <w:pStyle w:val="aa"/>
        <w:spacing w:before="240" w:after="120"/>
        <w:ind w:right="-142" w:firstLine="0"/>
        <w:jc w:val="center"/>
        <w:rPr>
          <w:rFonts w:cs="Arial"/>
          <w:sz w:val="22"/>
        </w:rPr>
      </w:pPr>
      <w:r w:rsidRPr="00157D73">
        <w:rPr>
          <w:rFonts w:cs="Arial"/>
          <w:b/>
          <w:bCs/>
          <w:sz w:val="22"/>
        </w:rPr>
        <w:t>СТРУКТУРА ОРГАНИЗАЦИЙ, ИСПОЛЬЗОВАВШИХ ИКТ  РОССИЙСКОЙ ФОРМЫ СОБСТВЕННОСТИ В 201</w:t>
      </w:r>
      <w:r>
        <w:rPr>
          <w:rFonts w:cs="Arial"/>
          <w:b/>
          <w:bCs/>
          <w:sz w:val="22"/>
        </w:rPr>
        <w:t>1</w:t>
      </w:r>
      <w:r w:rsidRPr="00157D73">
        <w:rPr>
          <w:rFonts w:cs="Arial"/>
          <w:b/>
          <w:bCs/>
          <w:sz w:val="22"/>
        </w:rPr>
        <w:t xml:space="preserve"> ГОДУ</w:t>
      </w:r>
      <w:r w:rsidRPr="00157D73">
        <w:rPr>
          <w:rFonts w:cs="Arial"/>
          <w:b/>
          <w:bCs/>
          <w:sz w:val="22"/>
        </w:rPr>
        <w:br/>
      </w:r>
      <w:r w:rsidRPr="00157D73">
        <w:rPr>
          <w:rFonts w:cs="Arial"/>
          <w:sz w:val="22"/>
        </w:rPr>
        <w:t>(в процентах)</w:t>
      </w:r>
    </w:p>
    <w:p w:rsidR="00DB27B1" w:rsidRDefault="00DB27B1" w:rsidP="00DB27B1">
      <w:pPr>
        <w:pStyle w:val="aa"/>
        <w:spacing w:line="240" w:lineRule="auto"/>
        <w:ind w:right="-143" w:hanging="98"/>
        <w:jc w:val="center"/>
        <w:rPr>
          <w:rFonts w:cs="Arial"/>
          <w:sz w:val="22"/>
        </w:rPr>
      </w:pPr>
      <w:r w:rsidRPr="00914F77">
        <w:rPr>
          <w:rFonts w:cs="Arial"/>
          <w:noProof/>
          <w:sz w:val="22"/>
          <w:bdr w:val="double" w:sz="4" w:space="0" w:color="auto"/>
        </w:rPr>
        <w:drawing>
          <wp:inline distT="0" distB="0" distL="0" distR="0">
            <wp:extent cx="9101470" cy="3030279"/>
            <wp:effectExtent l="0" t="0" r="0" b="0"/>
            <wp:docPr id="6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DB27B1" w:rsidRDefault="00DB27B1" w:rsidP="00DB27B1">
      <w:pPr>
        <w:pStyle w:val="aa"/>
        <w:spacing w:before="120" w:line="240" w:lineRule="auto"/>
        <w:ind w:right="-142"/>
        <w:rPr>
          <w:rFonts w:cs="Arial"/>
          <w:sz w:val="22"/>
        </w:rPr>
      </w:pPr>
      <w:r w:rsidRPr="00914F77">
        <w:rPr>
          <w:rFonts w:cs="Arial"/>
          <w:sz w:val="22"/>
        </w:rPr>
        <w:t>Из числа информационно - активных организаций в 201</w:t>
      </w:r>
      <w:r>
        <w:rPr>
          <w:rFonts w:cs="Arial"/>
          <w:sz w:val="22"/>
        </w:rPr>
        <w:t>1</w:t>
      </w:r>
      <w:r w:rsidRPr="00914F77">
        <w:rPr>
          <w:rFonts w:cs="Arial"/>
          <w:sz w:val="22"/>
        </w:rPr>
        <w:t xml:space="preserve"> году в Ульяновской области персональные компьютеры использовали о</w:t>
      </w:r>
      <w:r w:rsidRPr="00914F77">
        <w:rPr>
          <w:rFonts w:cs="Arial"/>
          <w:sz w:val="22"/>
        </w:rPr>
        <w:t>р</w:t>
      </w:r>
      <w:r w:rsidRPr="00914F77">
        <w:rPr>
          <w:rFonts w:cs="Arial"/>
          <w:sz w:val="22"/>
        </w:rPr>
        <w:t>ганизации разных форм собственности, 9</w:t>
      </w:r>
      <w:r w:rsidRPr="00460C8E">
        <w:rPr>
          <w:rFonts w:cs="Arial"/>
          <w:sz w:val="22"/>
        </w:rPr>
        <w:t>5.5</w:t>
      </w:r>
      <w:r w:rsidRPr="00914F77">
        <w:rPr>
          <w:rFonts w:cs="Arial"/>
          <w:sz w:val="22"/>
        </w:rPr>
        <w:t xml:space="preserve">% из них - это организации российской формы собственности, </w:t>
      </w:r>
      <w:r w:rsidRPr="00460C8E">
        <w:rPr>
          <w:rFonts w:cs="Arial"/>
          <w:sz w:val="22"/>
        </w:rPr>
        <w:t>2</w:t>
      </w:r>
      <w:r w:rsidRPr="00914F77">
        <w:rPr>
          <w:rFonts w:cs="Arial"/>
          <w:sz w:val="22"/>
        </w:rPr>
        <w:t>,</w:t>
      </w:r>
      <w:r w:rsidRPr="00460C8E">
        <w:rPr>
          <w:rFonts w:cs="Arial"/>
          <w:sz w:val="22"/>
        </w:rPr>
        <w:t>5</w:t>
      </w:r>
      <w:r w:rsidRPr="00914F77">
        <w:rPr>
          <w:rFonts w:cs="Arial"/>
          <w:sz w:val="22"/>
        </w:rPr>
        <w:t>% - организации с иностра</w:t>
      </w:r>
      <w:r w:rsidRPr="00914F77">
        <w:rPr>
          <w:rFonts w:cs="Arial"/>
          <w:sz w:val="22"/>
        </w:rPr>
        <w:t>н</w:t>
      </w:r>
      <w:r w:rsidRPr="00914F77">
        <w:rPr>
          <w:rFonts w:cs="Arial"/>
          <w:sz w:val="22"/>
        </w:rPr>
        <w:t>ной собственностью и 2</w:t>
      </w:r>
      <w:r>
        <w:rPr>
          <w:rFonts w:cs="Arial"/>
          <w:sz w:val="22"/>
        </w:rPr>
        <w:t>,</w:t>
      </w:r>
      <w:r w:rsidRPr="00460C8E">
        <w:rPr>
          <w:rFonts w:cs="Arial"/>
          <w:sz w:val="22"/>
        </w:rPr>
        <w:t>0</w:t>
      </w:r>
      <w:r w:rsidRPr="00914F77">
        <w:rPr>
          <w:rFonts w:cs="Arial"/>
          <w:sz w:val="22"/>
        </w:rPr>
        <w:t xml:space="preserve">%-совместной российской и иностранной. Причем среди организаций с российской формой собственностью </w:t>
      </w:r>
      <w:r>
        <w:rPr>
          <w:rFonts w:cs="Arial"/>
          <w:sz w:val="22"/>
        </w:rPr>
        <w:t>4</w:t>
      </w:r>
      <w:r w:rsidRPr="00460C8E">
        <w:rPr>
          <w:rFonts w:cs="Arial"/>
          <w:sz w:val="22"/>
        </w:rPr>
        <w:t>5</w:t>
      </w:r>
      <w:r>
        <w:rPr>
          <w:rFonts w:cs="Arial"/>
          <w:sz w:val="22"/>
        </w:rPr>
        <w:t>,</w:t>
      </w:r>
      <w:r w:rsidRPr="00460C8E">
        <w:rPr>
          <w:rFonts w:cs="Arial"/>
          <w:sz w:val="22"/>
        </w:rPr>
        <w:t>3</w:t>
      </w:r>
      <w:r w:rsidRPr="00914F77">
        <w:rPr>
          <w:rFonts w:cs="Arial"/>
          <w:sz w:val="22"/>
        </w:rPr>
        <w:t>% приходится на муниципальную форму собственности</w:t>
      </w:r>
      <w:r>
        <w:rPr>
          <w:rFonts w:cs="Arial"/>
          <w:sz w:val="22"/>
        </w:rPr>
        <w:t xml:space="preserve">, на </w:t>
      </w:r>
      <w:r w:rsidRPr="00914F77">
        <w:rPr>
          <w:rFonts w:cs="Arial"/>
          <w:sz w:val="22"/>
        </w:rPr>
        <w:t>частный сектор</w:t>
      </w:r>
      <w:r>
        <w:rPr>
          <w:rFonts w:cs="Arial"/>
          <w:sz w:val="22"/>
        </w:rPr>
        <w:t xml:space="preserve"> – 2</w:t>
      </w:r>
      <w:r w:rsidRPr="00460C8E">
        <w:rPr>
          <w:rFonts w:cs="Arial"/>
          <w:sz w:val="22"/>
        </w:rPr>
        <w:t>0</w:t>
      </w:r>
      <w:r>
        <w:rPr>
          <w:rFonts w:cs="Arial"/>
          <w:sz w:val="22"/>
        </w:rPr>
        <w:t>,</w:t>
      </w:r>
      <w:r w:rsidRPr="00460C8E">
        <w:rPr>
          <w:rFonts w:cs="Arial"/>
          <w:sz w:val="22"/>
        </w:rPr>
        <w:t>8</w:t>
      </w:r>
      <w:r>
        <w:rPr>
          <w:rFonts w:cs="Arial"/>
          <w:sz w:val="22"/>
        </w:rPr>
        <w:t>%</w:t>
      </w:r>
      <w:r w:rsidRPr="00914F77">
        <w:rPr>
          <w:rFonts w:cs="Arial"/>
          <w:sz w:val="22"/>
        </w:rPr>
        <w:t>.</w:t>
      </w:r>
    </w:p>
    <w:p w:rsidR="00F15D5C" w:rsidRPr="006068FA" w:rsidRDefault="00B17FBD" w:rsidP="00F15D5C">
      <w:pPr>
        <w:pStyle w:val="1"/>
        <w:rPr>
          <w:color w:val="548DD4" w:themeColor="text2" w:themeTint="99"/>
        </w:rPr>
      </w:pPr>
      <w:r>
        <w:rPr>
          <w:rFonts w:cs="Arial"/>
          <w:bCs/>
          <w:sz w:val="22"/>
        </w:rPr>
        <w:br w:type="page"/>
      </w:r>
      <w:bookmarkStart w:id="31" w:name="_Toc309826898"/>
      <w:r w:rsidR="00F15D5C" w:rsidRPr="006068FA">
        <w:rPr>
          <w:color w:val="548DD4" w:themeColor="text2" w:themeTint="99"/>
        </w:rPr>
        <w:lastRenderedPageBreak/>
        <w:t>ФИНАНСЫ</w:t>
      </w:r>
      <w:bookmarkEnd w:id="31"/>
    </w:p>
    <w:p w:rsidR="00F15D5C" w:rsidRDefault="00F15D5C" w:rsidP="00F15D5C">
      <w:pPr>
        <w:rPr>
          <w:rFonts w:ascii="Arial" w:hAnsi="Arial" w:cs="Arial"/>
        </w:rPr>
      </w:pPr>
      <w:r>
        <w:rPr>
          <w:rFonts w:ascii="Arial" w:hAnsi="Arial" w:cs="Arial"/>
          <w:noProof/>
        </w:rPr>
        <w:drawing>
          <wp:anchor distT="0" distB="0" distL="114300" distR="114300" simplePos="0" relativeHeight="251781120" behindDoc="0" locked="0" layoutInCell="1" allowOverlap="1">
            <wp:simplePos x="0" y="0"/>
            <wp:positionH relativeFrom="margin">
              <wp:posOffset>190500</wp:posOffset>
            </wp:positionH>
            <wp:positionV relativeFrom="margin">
              <wp:posOffset>231140</wp:posOffset>
            </wp:positionV>
            <wp:extent cx="1375410" cy="996950"/>
            <wp:effectExtent l="0" t="0" r="0" b="0"/>
            <wp:wrapSquare wrapText="bothSides"/>
            <wp:docPr id="71" name="Рисунок 54" descr="цен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ны2.jpg"/>
                    <pic:cNvPicPr/>
                  </pic:nvPicPr>
                  <pic:blipFill>
                    <a:blip r:embed="rId63"/>
                    <a:stretch>
                      <a:fillRect/>
                    </a:stretch>
                  </pic:blipFill>
                  <pic:spPr>
                    <a:xfrm>
                      <a:off x="0" y="0"/>
                      <a:ext cx="1375410" cy="996950"/>
                    </a:xfrm>
                    <a:prstGeom prst="rect">
                      <a:avLst/>
                    </a:prstGeom>
                    <a:ln>
                      <a:noFill/>
                    </a:ln>
                    <a:effectLst>
                      <a:softEdge rad="112500"/>
                    </a:effectLst>
                  </pic:spPr>
                </pic:pic>
              </a:graphicData>
            </a:graphic>
          </wp:anchor>
        </w:drawing>
      </w:r>
    </w:p>
    <w:p w:rsidR="00F15D5C" w:rsidRDefault="00F15D5C" w:rsidP="00F15D5C">
      <w:pPr>
        <w:jc w:val="both"/>
        <w:rPr>
          <w:rFonts w:ascii="Arial" w:hAnsi="Arial" w:cs="Arial"/>
          <w:sz w:val="22"/>
          <w:szCs w:val="22"/>
        </w:rPr>
      </w:pPr>
      <w:r>
        <w:rPr>
          <w:rFonts w:ascii="Arial" w:hAnsi="Arial" w:cs="Arial"/>
          <w:sz w:val="22"/>
          <w:szCs w:val="22"/>
        </w:rPr>
        <w:t xml:space="preserve">Неотъемлемой частью экономической жизни любого региона и страны в целом является финансовая система. Последнее десятилетие ХХ века и начало </w:t>
      </w:r>
      <w:r>
        <w:rPr>
          <w:rFonts w:ascii="Arial" w:hAnsi="Arial" w:cs="Arial"/>
          <w:sz w:val="22"/>
          <w:szCs w:val="22"/>
          <w:lang w:val="en-US"/>
        </w:rPr>
        <w:t>XXI</w:t>
      </w:r>
      <w:r>
        <w:rPr>
          <w:rFonts w:ascii="Arial" w:hAnsi="Arial" w:cs="Arial"/>
          <w:sz w:val="22"/>
          <w:szCs w:val="22"/>
        </w:rPr>
        <w:t xml:space="preserve"> века, характеризующееся радикальными экономическими р</w:t>
      </w:r>
      <w:r>
        <w:rPr>
          <w:rFonts w:ascii="Arial" w:hAnsi="Arial" w:cs="Arial"/>
          <w:sz w:val="22"/>
          <w:szCs w:val="22"/>
        </w:rPr>
        <w:t>е</w:t>
      </w:r>
      <w:r>
        <w:rPr>
          <w:rFonts w:ascii="Arial" w:hAnsi="Arial" w:cs="Arial"/>
          <w:sz w:val="22"/>
          <w:szCs w:val="22"/>
        </w:rPr>
        <w:t>формами, стало временем финансовой нестабильности. Периоды улучшения финансово-экономического пол</w:t>
      </w:r>
      <w:r>
        <w:rPr>
          <w:rFonts w:ascii="Arial" w:hAnsi="Arial" w:cs="Arial"/>
          <w:sz w:val="22"/>
          <w:szCs w:val="22"/>
        </w:rPr>
        <w:t>о</w:t>
      </w:r>
      <w:r>
        <w:rPr>
          <w:rFonts w:ascii="Arial" w:hAnsi="Arial" w:cs="Arial"/>
          <w:sz w:val="22"/>
          <w:szCs w:val="22"/>
        </w:rPr>
        <w:t>жения экономики области под воздействием внешнеэкономических и внутриэкономических факторов сменялись периодом спада, ухудшением финансово-экономических показателей развития экономики.</w:t>
      </w:r>
    </w:p>
    <w:p w:rsidR="00F15D5C" w:rsidRDefault="00F15D5C" w:rsidP="00F15D5C">
      <w:pPr>
        <w:pStyle w:val="8"/>
        <w:rPr>
          <w:sz w:val="22"/>
          <w:szCs w:val="22"/>
        </w:rPr>
      </w:pPr>
    </w:p>
    <w:p w:rsidR="00F15D5C" w:rsidRDefault="00F15D5C" w:rsidP="00F15D5C">
      <w:pPr>
        <w:pStyle w:val="8"/>
        <w:rPr>
          <w:b w:val="0"/>
          <w:bCs w:val="0"/>
          <w:sz w:val="22"/>
          <w:szCs w:val="22"/>
        </w:rPr>
      </w:pPr>
      <w:r>
        <w:rPr>
          <w:sz w:val="22"/>
          <w:szCs w:val="22"/>
        </w:rPr>
        <w:t xml:space="preserve">САЛЬДИРОВАННЫЙ ФИНАНСОВЫЙ РЕЗУЛЬТАТ (ПРИБЫЛЬ МИНУС УБЫТОК) </w:t>
      </w:r>
      <w:r>
        <w:rPr>
          <w:sz w:val="22"/>
          <w:szCs w:val="22"/>
        </w:rPr>
        <w:br/>
        <w:t>ДЕЯТЕЛЬНОСТИ ПРЕДПРИЯТИЙ И ОРГАНИЗАЦИЙ ОБЛАСТИ</w:t>
      </w:r>
      <w:r>
        <w:rPr>
          <w:sz w:val="22"/>
          <w:szCs w:val="22"/>
        </w:rPr>
        <w:br/>
      </w:r>
      <w:r>
        <w:rPr>
          <w:b w:val="0"/>
          <w:bCs w:val="0"/>
          <w:sz w:val="22"/>
          <w:szCs w:val="22"/>
        </w:rPr>
        <w:t xml:space="preserve"> (кроме малых предприятий, банков, страховых и бюджетных организаций, млн. рублей)</w:t>
      </w: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r>
        <w:rPr>
          <w:rFonts w:ascii="Arial" w:hAnsi="Arial" w:cs="Arial"/>
          <w:noProof/>
          <w:sz w:val="22"/>
          <w:szCs w:val="22"/>
        </w:rPr>
        <w:drawing>
          <wp:anchor distT="0" distB="0" distL="114300" distR="114300" simplePos="0" relativeHeight="251780096" behindDoc="0" locked="0" layoutInCell="1" allowOverlap="1">
            <wp:simplePos x="0" y="0"/>
            <wp:positionH relativeFrom="column">
              <wp:posOffset>213995</wp:posOffset>
            </wp:positionH>
            <wp:positionV relativeFrom="paragraph">
              <wp:posOffset>8255</wp:posOffset>
            </wp:positionV>
            <wp:extent cx="8656955" cy="3039745"/>
            <wp:effectExtent l="38100" t="19050" r="10795" b="8255"/>
            <wp:wrapNone/>
            <wp:docPr id="86" name="Объект 1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jc w:val="center"/>
        <w:rPr>
          <w:rFonts w:ascii="Arial" w:hAnsi="Arial" w:cs="Arial"/>
          <w:sz w:val="22"/>
          <w:szCs w:val="22"/>
        </w:rPr>
      </w:pPr>
    </w:p>
    <w:p w:rsidR="00F15D5C" w:rsidRDefault="00F15D5C" w:rsidP="00F15D5C">
      <w:pPr>
        <w:pStyle w:val="11"/>
        <w:rPr>
          <w:sz w:val="22"/>
          <w:szCs w:val="22"/>
        </w:rPr>
      </w:pPr>
    </w:p>
    <w:p w:rsidR="00F15D5C" w:rsidRDefault="00F15D5C" w:rsidP="00F15D5C">
      <w:pPr>
        <w:pStyle w:val="22"/>
        <w:spacing w:before="120" w:line="240" w:lineRule="auto"/>
        <w:rPr>
          <w:sz w:val="22"/>
          <w:szCs w:val="22"/>
        </w:rPr>
      </w:pPr>
    </w:p>
    <w:p w:rsidR="00F15D5C" w:rsidRDefault="00F15D5C" w:rsidP="00F15D5C">
      <w:pPr>
        <w:pStyle w:val="22"/>
        <w:spacing w:before="120" w:line="240" w:lineRule="auto"/>
        <w:rPr>
          <w:sz w:val="22"/>
          <w:szCs w:val="22"/>
        </w:rPr>
      </w:pPr>
    </w:p>
    <w:p w:rsidR="00F15D5C" w:rsidRDefault="00F15D5C" w:rsidP="00F15D5C">
      <w:pPr>
        <w:pStyle w:val="22"/>
        <w:spacing w:before="120" w:line="240" w:lineRule="auto"/>
        <w:rPr>
          <w:sz w:val="22"/>
          <w:szCs w:val="22"/>
        </w:rPr>
      </w:pPr>
    </w:p>
    <w:p w:rsidR="00F15D5C" w:rsidRDefault="00F15D5C" w:rsidP="00F15D5C">
      <w:pPr>
        <w:pStyle w:val="22"/>
        <w:spacing w:before="120" w:line="240" w:lineRule="auto"/>
        <w:rPr>
          <w:sz w:val="22"/>
          <w:szCs w:val="22"/>
        </w:rPr>
      </w:pPr>
      <w:r>
        <w:rPr>
          <w:sz w:val="22"/>
          <w:szCs w:val="22"/>
        </w:rPr>
        <w:t>Анализ экономического развития Ульяновской области показывает, что после сокращения экономического потенциала области, достигшего своего максимума в кризисный 1998 год, начался период постепенного восстановления экономики области.</w:t>
      </w:r>
    </w:p>
    <w:p w:rsidR="00F15D5C" w:rsidRDefault="00F15D5C" w:rsidP="00F15D5C">
      <w:pPr>
        <w:pStyle w:val="22"/>
        <w:spacing w:line="240" w:lineRule="auto"/>
        <w:rPr>
          <w:sz w:val="22"/>
          <w:szCs w:val="22"/>
        </w:rPr>
      </w:pPr>
      <w:r>
        <w:rPr>
          <w:sz w:val="22"/>
          <w:szCs w:val="22"/>
        </w:rPr>
        <w:t xml:space="preserve">Финансовое состояние организаций экономики Ульяновской области с 2003 по 2007 год имело устойчивую тенденцию улучшения. Сальдированный финансовый результат возрос с отрицательного значения 478,0 млн. рублей в 2003 году до положительного результата 10324,0 млн. рублей в 2007 году. В 2008 году отмечалось снижение этого показателя до 2142,0 млн. рублей и рост в 2010 году до 6770,0 млн. рублей. </w:t>
      </w:r>
    </w:p>
    <w:p w:rsidR="00F15D5C" w:rsidRDefault="00F15D5C" w:rsidP="00F15D5C">
      <w:pPr>
        <w:pStyle w:val="22"/>
        <w:spacing w:line="240" w:lineRule="auto"/>
        <w:rPr>
          <w:sz w:val="22"/>
          <w:szCs w:val="22"/>
        </w:rPr>
      </w:pPr>
    </w:p>
    <w:p w:rsidR="00F15D5C" w:rsidRDefault="00F15D5C" w:rsidP="00F15D5C">
      <w:pPr>
        <w:pStyle w:val="8"/>
        <w:rPr>
          <w:rFonts w:cs="Times New Roman"/>
          <w:sz w:val="22"/>
          <w:szCs w:val="22"/>
          <w:vertAlign w:val="superscript"/>
        </w:rPr>
      </w:pPr>
      <w:r>
        <w:rPr>
          <w:sz w:val="22"/>
          <w:szCs w:val="22"/>
        </w:rPr>
        <w:lastRenderedPageBreak/>
        <w:t>УДЕЛЬНЫЙ ВЕС УБЫТОЧНЫХ ОРГАНИЗАЦИЙ ОБЛАСТИ</w:t>
      </w:r>
    </w:p>
    <w:p w:rsidR="00F15D5C" w:rsidRDefault="00F15D5C" w:rsidP="00F15D5C">
      <w:pPr>
        <w:spacing w:before="120"/>
        <w:rPr>
          <w:rFonts w:ascii="Arial" w:hAnsi="Arial" w:cs="Arial"/>
          <w:sz w:val="22"/>
          <w:szCs w:val="22"/>
        </w:rPr>
      </w:pPr>
      <w:r>
        <w:rPr>
          <w:noProof/>
        </w:rPr>
        <w:drawing>
          <wp:anchor distT="0" distB="0" distL="114300" distR="114300" simplePos="0" relativeHeight="251779072" behindDoc="0" locked="0" layoutInCell="1" allowOverlap="1">
            <wp:simplePos x="0" y="0"/>
            <wp:positionH relativeFrom="column">
              <wp:posOffset>50608</wp:posOffset>
            </wp:positionH>
            <wp:positionV relativeFrom="paragraph">
              <wp:posOffset>26286</wp:posOffset>
            </wp:positionV>
            <wp:extent cx="9000682" cy="2139359"/>
            <wp:effectExtent l="38100" t="19050" r="9968" b="0"/>
            <wp:wrapNone/>
            <wp:docPr id="87" name="Объект 1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spacing w:before="120"/>
        <w:ind w:left="360"/>
        <w:rPr>
          <w:rFonts w:ascii="Arial" w:hAnsi="Arial" w:cs="Arial"/>
          <w:sz w:val="22"/>
          <w:szCs w:val="22"/>
        </w:rPr>
      </w:pPr>
    </w:p>
    <w:p w:rsidR="00F15D5C" w:rsidRDefault="00F15D5C" w:rsidP="00F15D5C">
      <w:pPr>
        <w:pStyle w:val="22"/>
        <w:spacing w:line="240" w:lineRule="auto"/>
        <w:rPr>
          <w:sz w:val="22"/>
          <w:szCs w:val="22"/>
        </w:rPr>
      </w:pPr>
      <w:r>
        <w:rPr>
          <w:sz w:val="22"/>
          <w:szCs w:val="22"/>
        </w:rPr>
        <w:t>Удельный вес убыточных организаций сократился с 58,3 процента в 2003 году до 27,4 процента в 2007 году, однако с 2008 года начал несколько увеличиваться и составил в 2009 году 3</w:t>
      </w:r>
      <w:r w:rsidRPr="00AB1163">
        <w:rPr>
          <w:sz w:val="22"/>
          <w:szCs w:val="22"/>
        </w:rPr>
        <w:t>5</w:t>
      </w:r>
      <w:r>
        <w:rPr>
          <w:sz w:val="22"/>
          <w:szCs w:val="22"/>
        </w:rPr>
        <w:t>,</w:t>
      </w:r>
      <w:r w:rsidRPr="00AB1163">
        <w:rPr>
          <w:sz w:val="22"/>
          <w:szCs w:val="22"/>
        </w:rPr>
        <w:t>9</w:t>
      </w:r>
      <w:r>
        <w:rPr>
          <w:sz w:val="22"/>
          <w:szCs w:val="22"/>
        </w:rPr>
        <w:t xml:space="preserve"> процента, в 201</w:t>
      </w:r>
      <w:r w:rsidRPr="00AB1163">
        <w:rPr>
          <w:sz w:val="22"/>
          <w:szCs w:val="22"/>
        </w:rPr>
        <w:t>1</w:t>
      </w:r>
      <w:r>
        <w:rPr>
          <w:sz w:val="22"/>
          <w:szCs w:val="22"/>
        </w:rPr>
        <w:t xml:space="preserve"> году снизился до 2</w:t>
      </w:r>
      <w:r w:rsidRPr="00AB1163">
        <w:rPr>
          <w:sz w:val="22"/>
          <w:szCs w:val="22"/>
        </w:rPr>
        <w:t>8</w:t>
      </w:r>
      <w:r>
        <w:rPr>
          <w:sz w:val="22"/>
          <w:szCs w:val="22"/>
        </w:rPr>
        <w:t>,</w:t>
      </w:r>
      <w:r w:rsidRPr="00AB1163">
        <w:rPr>
          <w:sz w:val="22"/>
          <w:szCs w:val="22"/>
        </w:rPr>
        <w:t>9</w:t>
      </w:r>
      <w:r>
        <w:rPr>
          <w:sz w:val="22"/>
          <w:szCs w:val="22"/>
        </w:rPr>
        <w:t xml:space="preserve"> процента</w:t>
      </w:r>
      <w:r>
        <w:rPr>
          <w:color w:val="4F6228"/>
          <w:sz w:val="22"/>
          <w:szCs w:val="22"/>
        </w:rPr>
        <w:t xml:space="preserve">. </w:t>
      </w:r>
      <w:r>
        <w:rPr>
          <w:sz w:val="22"/>
          <w:szCs w:val="22"/>
        </w:rPr>
        <w:t>В 201</w:t>
      </w:r>
      <w:r w:rsidRPr="00AB1163">
        <w:rPr>
          <w:sz w:val="22"/>
          <w:szCs w:val="22"/>
        </w:rPr>
        <w:t>1</w:t>
      </w:r>
      <w:r>
        <w:rPr>
          <w:sz w:val="22"/>
          <w:szCs w:val="22"/>
        </w:rPr>
        <w:t xml:space="preserve"> году по сравнению с предыдущим годом сокращение удельного веса убыточных организаций отмечено по следующим видам экономической деятельности: сельское хозяйство, охота и лесное хозяйство, обрабатывающие производства, производство и распределение электроэнергии, газа и воды, строительство и в ряде других видов экономической деятельности.</w:t>
      </w:r>
    </w:p>
    <w:p w:rsidR="00F15D5C" w:rsidRDefault="00F15D5C" w:rsidP="00241F68">
      <w:pPr>
        <w:ind w:firstLine="709"/>
        <w:jc w:val="both"/>
        <w:rPr>
          <w:rFonts w:ascii="Arial" w:hAnsi="Arial" w:cs="Arial"/>
          <w:sz w:val="22"/>
          <w:szCs w:val="22"/>
        </w:rPr>
      </w:pPr>
      <w:r>
        <w:rPr>
          <w:rFonts w:ascii="Arial" w:hAnsi="Arial" w:cs="Arial"/>
          <w:sz w:val="22"/>
          <w:szCs w:val="22"/>
        </w:rPr>
        <w:t>Состояние платежей и расчетов с 2003 год по 2011 год характеризовались:</w:t>
      </w:r>
    </w:p>
    <w:p w:rsidR="00F15D5C" w:rsidRDefault="00F15D5C" w:rsidP="00F15D5C">
      <w:pPr>
        <w:ind w:firstLine="284"/>
        <w:jc w:val="both"/>
        <w:rPr>
          <w:rFonts w:ascii="Arial" w:hAnsi="Arial" w:cs="Arial"/>
          <w:sz w:val="22"/>
          <w:szCs w:val="22"/>
        </w:rPr>
      </w:pPr>
      <w:r>
        <w:rPr>
          <w:rFonts w:ascii="Arial" w:hAnsi="Arial" w:cs="Arial"/>
          <w:sz w:val="22"/>
          <w:szCs w:val="22"/>
        </w:rPr>
        <w:t>-уменьшением объема просроченной составляющей кредиторской и дебиторской задолженностей и задолженности по полученным кредитам и займам;</w:t>
      </w:r>
    </w:p>
    <w:p w:rsidR="00F15D5C" w:rsidRDefault="00F15D5C" w:rsidP="00F15D5C">
      <w:pPr>
        <w:ind w:firstLine="284"/>
        <w:jc w:val="both"/>
        <w:rPr>
          <w:rFonts w:ascii="Arial" w:hAnsi="Arial" w:cs="Arial"/>
          <w:sz w:val="22"/>
          <w:szCs w:val="22"/>
        </w:rPr>
      </w:pPr>
      <w:r>
        <w:rPr>
          <w:rFonts w:ascii="Arial" w:hAnsi="Arial" w:cs="Arial"/>
          <w:sz w:val="22"/>
          <w:szCs w:val="22"/>
        </w:rPr>
        <w:t>- улучшением соотношения между просроченной кредиторской и дебиторской задолженностями;</w:t>
      </w:r>
    </w:p>
    <w:p w:rsidR="00F15D5C" w:rsidRDefault="00F15D5C" w:rsidP="00F15D5C">
      <w:pPr>
        <w:ind w:firstLine="284"/>
        <w:jc w:val="both"/>
        <w:rPr>
          <w:rFonts w:ascii="Arial" w:hAnsi="Arial" w:cs="Arial"/>
          <w:sz w:val="22"/>
          <w:szCs w:val="22"/>
        </w:rPr>
      </w:pPr>
      <w:r>
        <w:rPr>
          <w:rFonts w:ascii="Arial" w:hAnsi="Arial" w:cs="Arial"/>
          <w:sz w:val="22"/>
          <w:szCs w:val="22"/>
        </w:rPr>
        <w:t>- улучшением структуры (по видам расчетов) платежей за отгруженную продукцию, выполненные работы, оказанные услуги организ</w:t>
      </w:r>
      <w:r>
        <w:rPr>
          <w:rFonts w:ascii="Arial" w:hAnsi="Arial" w:cs="Arial"/>
          <w:sz w:val="22"/>
          <w:szCs w:val="22"/>
        </w:rPr>
        <w:t>а</w:t>
      </w:r>
      <w:r>
        <w:rPr>
          <w:rFonts w:ascii="Arial" w:hAnsi="Arial" w:cs="Arial"/>
          <w:sz w:val="22"/>
          <w:szCs w:val="22"/>
        </w:rPr>
        <w:t>ций</w:t>
      </w:r>
    </w:p>
    <w:p w:rsidR="00F15D5C" w:rsidRDefault="00F15D5C" w:rsidP="00F15D5C">
      <w:pPr>
        <w:ind w:firstLine="284"/>
        <w:jc w:val="both"/>
        <w:rPr>
          <w:rFonts w:ascii="Arial" w:hAnsi="Arial" w:cs="Arial"/>
          <w:sz w:val="22"/>
          <w:szCs w:val="22"/>
        </w:rPr>
      </w:pPr>
      <w:r>
        <w:rPr>
          <w:rFonts w:ascii="Arial" w:hAnsi="Arial" w:cs="Arial"/>
          <w:sz w:val="22"/>
          <w:szCs w:val="22"/>
        </w:rPr>
        <w:t>- увеличением доли расчетов денежными средствами и, соответственно, сокращением доли бартерных отношений и денежных сурр</w:t>
      </w:r>
      <w:r>
        <w:rPr>
          <w:rFonts w:ascii="Arial" w:hAnsi="Arial" w:cs="Arial"/>
          <w:sz w:val="22"/>
          <w:szCs w:val="22"/>
        </w:rPr>
        <w:t>о</w:t>
      </w:r>
      <w:r>
        <w:rPr>
          <w:rFonts w:ascii="Arial" w:hAnsi="Arial" w:cs="Arial"/>
          <w:sz w:val="22"/>
          <w:szCs w:val="22"/>
        </w:rPr>
        <w:t>гатов в общем объеме оплаченной продукции.</w:t>
      </w:r>
    </w:p>
    <w:p w:rsidR="00F15D5C" w:rsidRDefault="00F15D5C" w:rsidP="00F15D5C">
      <w:pPr>
        <w:ind w:firstLine="284"/>
        <w:jc w:val="both"/>
        <w:rPr>
          <w:rFonts w:ascii="Arial" w:hAnsi="Arial" w:cs="Arial"/>
          <w:sz w:val="22"/>
          <w:szCs w:val="22"/>
        </w:rPr>
      </w:pPr>
      <w:r>
        <w:rPr>
          <w:rFonts w:ascii="Arial" w:hAnsi="Arial" w:cs="Arial"/>
          <w:sz w:val="22"/>
          <w:szCs w:val="22"/>
        </w:rPr>
        <w:t xml:space="preserve">В 2009 году рост объемов дебиторской, кредиторской задолженностей и задолженности по кредитам и займам, хотя и не таким </w:t>
      </w:r>
      <w:proofErr w:type="gramStart"/>
      <w:r>
        <w:rPr>
          <w:rFonts w:ascii="Arial" w:hAnsi="Arial" w:cs="Arial"/>
          <w:sz w:val="22"/>
          <w:szCs w:val="22"/>
        </w:rPr>
        <w:t>знач</w:t>
      </w:r>
      <w:r>
        <w:rPr>
          <w:rFonts w:ascii="Arial" w:hAnsi="Arial" w:cs="Arial"/>
          <w:sz w:val="22"/>
          <w:szCs w:val="22"/>
        </w:rPr>
        <w:t>и</w:t>
      </w:r>
      <w:r>
        <w:rPr>
          <w:rFonts w:ascii="Arial" w:hAnsi="Arial" w:cs="Arial"/>
          <w:sz w:val="22"/>
          <w:szCs w:val="22"/>
        </w:rPr>
        <w:t>тельный</w:t>
      </w:r>
      <w:proofErr w:type="gramEnd"/>
      <w:r>
        <w:rPr>
          <w:rFonts w:ascii="Arial" w:hAnsi="Arial" w:cs="Arial"/>
          <w:sz w:val="22"/>
          <w:szCs w:val="22"/>
        </w:rPr>
        <w:t xml:space="preserve"> как в 2008 году, сопровождался увеличением просроченных задолженностей, особенно резко возросла просроченная задолже</w:t>
      </w:r>
      <w:r>
        <w:rPr>
          <w:rFonts w:ascii="Arial" w:hAnsi="Arial" w:cs="Arial"/>
          <w:sz w:val="22"/>
          <w:szCs w:val="22"/>
        </w:rPr>
        <w:t>н</w:t>
      </w:r>
      <w:r>
        <w:rPr>
          <w:rFonts w:ascii="Arial" w:hAnsi="Arial" w:cs="Arial"/>
          <w:sz w:val="22"/>
          <w:szCs w:val="22"/>
        </w:rPr>
        <w:t>ность по кредитам и займам. В 2009 году произошло ухудшение в состоянии расчетов за отгруженную продукцию, выполненные работы, оказанные услуги:</w:t>
      </w:r>
    </w:p>
    <w:p w:rsidR="00F15D5C" w:rsidRDefault="00F15D5C" w:rsidP="00F15D5C">
      <w:pPr>
        <w:ind w:firstLine="284"/>
        <w:jc w:val="both"/>
        <w:rPr>
          <w:rFonts w:ascii="Arial" w:hAnsi="Arial" w:cs="Arial"/>
          <w:sz w:val="22"/>
          <w:szCs w:val="22"/>
        </w:rPr>
      </w:pPr>
      <w:r>
        <w:rPr>
          <w:rFonts w:ascii="Arial" w:hAnsi="Arial" w:cs="Arial"/>
          <w:sz w:val="22"/>
          <w:szCs w:val="22"/>
        </w:rPr>
        <w:t>- снизилась доля расчетов денежными средствами в объеме оплаченной продукции (работ, услуг), соответственно увеличилась доля денежных суррогатов;</w:t>
      </w:r>
    </w:p>
    <w:p w:rsidR="00F15D5C" w:rsidRDefault="00F15D5C" w:rsidP="00F15D5C">
      <w:pPr>
        <w:ind w:firstLine="284"/>
        <w:jc w:val="both"/>
        <w:rPr>
          <w:rFonts w:ascii="Arial" w:hAnsi="Arial" w:cs="Arial"/>
          <w:sz w:val="22"/>
          <w:szCs w:val="22"/>
        </w:rPr>
      </w:pPr>
      <w:r>
        <w:rPr>
          <w:rFonts w:ascii="Arial" w:hAnsi="Arial" w:cs="Arial"/>
          <w:sz w:val="22"/>
          <w:szCs w:val="22"/>
        </w:rPr>
        <w:t>- ухудшилась структура расчетов в районах области и в основных видах экономической деятельности, особенно в обрабатывающем производстве, строительстве, оптовой и розничной торговле.</w:t>
      </w:r>
    </w:p>
    <w:p w:rsidR="00241F68" w:rsidRDefault="00241F68" w:rsidP="00241F68">
      <w:pPr>
        <w:pStyle w:val="2"/>
        <w:jc w:val="center"/>
        <w:rPr>
          <w:rFonts w:cs="Arial"/>
          <w:i w:val="0"/>
          <w:sz w:val="22"/>
          <w:szCs w:val="22"/>
        </w:rPr>
      </w:pPr>
    </w:p>
    <w:p w:rsidR="00241F68" w:rsidRPr="00241F68" w:rsidRDefault="00241F68" w:rsidP="00241F68">
      <w:pPr>
        <w:pStyle w:val="2"/>
        <w:jc w:val="center"/>
        <w:rPr>
          <w:rFonts w:cs="Arial"/>
          <w:i w:val="0"/>
          <w:sz w:val="22"/>
          <w:szCs w:val="22"/>
        </w:rPr>
      </w:pPr>
      <w:r w:rsidRPr="00E57AD2">
        <w:rPr>
          <w:rFonts w:cs="Arial"/>
          <w:i w:val="0"/>
          <w:sz w:val="22"/>
          <w:szCs w:val="22"/>
        </w:rPr>
        <w:t>ЗАДОЛЖЕННОСТЬ ОРГАНИЗАЦИЙ ОБЛАСТИ</w:t>
      </w:r>
    </w:p>
    <w:p w:rsidR="00241F68" w:rsidRDefault="00241F68" w:rsidP="00241F68">
      <w:pPr>
        <w:pStyle w:val="a9"/>
        <w:spacing w:before="120" w:after="120"/>
        <w:jc w:val="center"/>
        <w:rPr>
          <w:sz w:val="22"/>
          <w:szCs w:val="22"/>
        </w:rPr>
      </w:pPr>
      <w:r w:rsidRPr="00E57AD2">
        <w:rPr>
          <w:sz w:val="22"/>
          <w:szCs w:val="22"/>
        </w:rPr>
        <w:t>(кроме субъектов малого предпринимательства, банков, страховых и бюджетных организаций, по оперативным данным, млн. рублей)</w:t>
      </w:r>
    </w:p>
    <w:p w:rsidR="00241F68" w:rsidRPr="00E57AD2" w:rsidRDefault="00241F68" w:rsidP="00241F68">
      <w:pPr>
        <w:pStyle w:val="a9"/>
        <w:jc w:val="center"/>
        <w:rPr>
          <w:rFonts w:cs="Arial"/>
          <w:sz w:val="22"/>
          <w:szCs w:val="22"/>
        </w:rPr>
      </w:pPr>
    </w:p>
    <w:tbl>
      <w:tblPr>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560"/>
        <w:gridCol w:w="1193"/>
        <w:gridCol w:w="1196"/>
        <w:gridCol w:w="1196"/>
        <w:gridCol w:w="1195"/>
        <w:gridCol w:w="1195"/>
        <w:gridCol w:w="1192"/>
        <w:gridCol w:w="1195"/>
        <w:gridCol w:w="1195"/>
        <w:gridCol w:w="1195"/>
        <w:gridCol w:w="1192"/>
      </w:tblGrid>
      <w:tr w:rsidR="00241F68" w:rsidRPr="00DE73BC" w:rsidTr="00241F68">
        <w:trPr>
          <w:trHeight w:val="302"/>
          <w:tblHeader/>
        </w:trPr>
        <w:tc>
          <w:tcPr>
            <w:tcW w:w="882" w:type="pct"/>
            <w:shd w:val="clear" w:color="auto" w:fill="C6D9F1" w:themeFill="text2" w:themeFillTint="33"/>
          </w:tcPr>
          <w:p w:rsidR="00241F68" w:rsidRPr="00DE73BC" w:rsidRDefault="00241F68" w:rsidP="00241F68">
            <w:pPr>
              <w:spacing w:before="120" w:after="120"/>
              <w:jc w:val="both"/>
              <w:rPr>
                <w:rFonts w:ascii="Arial" w:hAnsi="Arial" w:cs="Arial"/>
                <w:sz w:val="18"/>
                <w:szCs w:val="18"/>
              </w:rPr>
            </w:pPr>
          </w:p>
        </w:tc>
        <w:tc>
          <w:tcPr>
            <w:tcW w:w="411" w:type="pct"/>
            <w:shd w:val="clear" w:color="auto" w:fill="C6D9F1" w:themeFill="text2" w:themeFillTint="33"/>
            <w:vAlign w:val="bottom"/>
          </w:tcPr>
          <w:p w:rsidR="00241F68" w:rsidRPr="00DE73BC" w:rsidRDefault="00241F68" w:rsidP="00241F68">
            <w:pPr>
              <w:spacing w:before="120" w:after="120"/>
              <w:jc w:val="center"/>
              <w:rPr>
                <w:rFonts w:ascii="Arial" w:hAnsi="Arial" w:cs="Arial"/>
                <w:sz w:val="18"/>
                <w:szCs w:val="18"/>
                <w:lang w:val="en-US"/>
              </w:rPr>
            </w:pPr>
            <w:r w:rsidRPr="00DE73BC">
              <w:rPr>
                <w:rFonts w:ascii="Arial" w:hAnsi="Arial" w:cs="Arial"/>
                <w:sz w:val="18"/>
                <w:szCs w:val="18"/>
              </w:rPr>
              <w:t>200</w:t>
            </w:r>
            <w:r w:rsidRPr="00DE73BC">
              <w:rPr>
                <w:rFonts w:ascii="Arial" w:hAnsi="Arial" w:cs="Arial"/>
                <w:sz w:val="18"/>
                <w:szCs w:val="18"/>
                <w:lang w:val="en-US"/>
              </w:rPr>
              <w:t>2</w:t>
            </w:r>
          </w:p>
        </w:tc>
        <w:tc>
          <w:tcPr>
            <w:tcW w:w="412"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lang w:val="en-US"/>
              </w:rPr>
            </w:pPr>
            <w:r w:rsidRPr="00DE73BC">
              <w:rPr>
                <w:rFonts w:ascii="Arial" w:hAnsi="Arial" w:cs="Arial"/>
                <w:sz w:val="18"/>
                <w:szCs w:val="18"/>
              </w:rPr>
              <w:t>200</w:t>
            </w:r>
            <w:r w:rsidRPr="00DE73BC">
              <w:rPr>
                <w:rFonts w:ascii="Arial" w:hAnsi="Arial" w:cs="Arial"/>
                <w:sz w:val="18"/>
                <w:szCs w:val="18"/>
                <w:lang w:val="en-US"/>
              </w:rPr>
              <w:t>3</w:t>
            </w:r>
          </w:p>
        </w:tc>
        <w:tc>
          <w:tcPr>
            <w:tcW w:w="412"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lang w:val="en-US"/>
              </w:rPr>
            </w:pPr>
            <w:r w:rsidRPr="00DE73BC">
              <w:rPr>
                <w:rFonts w:ascii="Arial" w:hAnsi="Arial" w:cs="Arial"/>
                <w:sz w:val="18"/>
                <w:szCs w:val="18"/>
              </w:rPr>
              <w:t>2004</w:t>
            </w:r>
          </w:p>
        </w:tc>
        <w:tc>
          <w:tcPr>
            <w:tcW w:w="412"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rPr>
            </w:pPr>
            <w:r w:rsidRPr="00DE73BC">
              <w:rPr>
                <w:rFonts w:ascii="Arial" w:hAnsi="Arial" w:cs="Arial"/>
                <w:sz w:val="18"/>
                <w:szCs w:val="18"/>
              </w:rPr>
              <w:t>2005</w:t>
            </w:r>
          </w:p>
        </w:tc>
        <w:tc>
          <w:tcPr>
            <w:tcW w:w="412"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rPr>
            </w:pPr>
            <w:r w:rsidRPr="00DE73BC">
              <w:rPr>
                <w:rFonts w:ascii="Arial" w:hAnsi="Arial" w:cs="Arial"/>
                <w:sz w:val="18"/>
                <w:szCs w:val="18"/>
              </w:rPr>
              <w:t>2006</w:t>
            </w:r>
          </w:p>
        </w:tc>
        <w:tc>
          <w:tcPr>
            <w:tcW w:w="411"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rPr>
            </w:pPr>
            <w:r w:rsidRPr="00DE73BC">
              <w:rPr>
                <w:rFonts w:ascii="Arial" w:hAnsi="Arial" w:cs="Arial"/>
                <w:sz w:val="18"/>
                <w:szCs w:val="18"/>
              </w:rPr>
              <w:t>2007</w:t>
            </w:r>
          </w:p>
        </w:tc>
        <w:tc>
          <w:tcPr>
            <w:tcW w:w="412"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rPr>
            </w:pPr>
            <w:r w:rsidRPr="00DE73BC">
              <w:rPr>
                <w:rFonts w:ascii="Arial" w:hAnsi="Arial" w:cs="Arial"/>
                <w:sz w:val="18"/>
                <w:szCs w:val="18"/>
              </w:rPr>
              <w:t>2008</w:t>
            </w:r>
          </w:p>
        </w:tc>
        <w:tc>
          <w:tcPr>
            <w:tcW w:w="412"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rPr>
            </w:pPr>
            <w:r w:rsidRPr="00DE73BC">
              <w:rPr>
                <w:rFonts w:ascii="Arial" w:hAnsi="Arial" w:cs="Arial"/>
                <w:sz w:val="18"/>
                <w:szCs w:val="18"/>
              </w:rPr>
              <w:t>2009</w:t>
            </w:r>
          </w:p>
        </w:tc>
        <w:tc>
          <w:tcPr>
            <w:tcW w:w="412"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rPr>
            </w:pPr>
            <w:r w:rsidRPr="00DE73BC">
              <w:rPr>
                <w:rFonts w:ascii="Arial" w:hAnsi="Arial" w:cs="Arial"/>
                <w:sz w:val="18"/>
                <w:szCs w:val="18"/>
              </w:rPr>
              <w:t>2010</w:t>
            </w:r>
          </w:p>
        </w:tc>
        <w:tc>
          <w:tcPr>
            <w:tcW w:w="411" w:type="pct"/>
            <w:shd w:val="clear" w:color="auto" w:fill="C6D9F1" w:themeFill="text2" w:themeFillTint="33"/>
            <w:vAlign w:val="bottom"/>
            <w:hideMark/>
          </w:tcPr>
          <w:p w:rsidR="00241F68" w:rsidRPr="00DE73BC" w:rsidRDefault="00241F68" w:rsidP="00241F68">
            <w:pPr>
              <w:spacing w:before="120" w:after="120"/>
              <w:jc w:val="center"/>
              <w:rPr>
                <w:rFonts w:ascii="Arial" w:hAnsi="Arial" w:cs="Arial"/>
                <w:sz w:val="18"/>
                <w:szCs w:val="18"/>
              </w:rPr>
            </w:pPr>
            <w:r w:rsidRPr="00DE73BC">
              <w:rPr>
                <w:rFonts w:ascii="Arial" w:hAnsi="Arial" w:cs="Arial"/>
                <w:sz w:val="18"/>
                <w:szCs w:val="18"/>
              </w:rPr>
              <w:t>2011</w:t>
            </w:r>
          </w:p>
        </w:tc>
      </w:tr>
      <w:tr w:rsidR="00241F68" w:rsidRPr="00DE73BC" w:rsidTr="00241F68">
        <w:tc>
          <w:tcPr>
            <w:tcW w:w="882" w:type="pct"/>
            <w:hideMark/>
          </w:tcPr>
          <w:p w:rsidR="00241F68" w:rsidRPr="00DE73BC" w:rsidRDefault="00241F68" w:rsidP="00241F68">
            <w:pPr>
              <w:spacing w:before="40" w:after="60"/>
              <w:rPr>
                <w:rFonts w:ascii="Arial" w:hAnsi="Arial" w:cs="Arial"/>
                <w:sz w:val="18"/>
                <w:szCs w:val="18"/>
              </w:rPr>
            </w:pPr>
            <w:r w:rsidRPr="00DE73BC">
              <w:rPr>
                <w:rFonts w:ascii="Arial" w:hAnsi="Arial" w:cs="Arial"/>
                <w:sz w:val="18"/>
                <w:szCs w:val="18"/>
              </w:rPr>
              <w:t>Суммарная задолженность по обязательствам</w:t>
            </w:r>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47324</w:t>
            </w:r>
            <w:r w:rsidRPr="00DE73BC">
              <w:rPr>
                <w:rFonts w:ascii="Arial" w:eastAsiaTheme="minorEastAsia" w:hAnsi="Arial" w:cs="Arial"/>
                <w:sz w:val="18"/>
                <w:szCs w:val="18"/>
              </w:rPr>
              <w:t>,4</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49964,0</w:t>
            </w:r>
          </w:p>
        </w:tc>
        <w:tc>
          <w:tcPr>
            <w:tcW w:w="412" w:type="pct"/>
            <w:vAlign w:val="bottom"/>
            <w:hideMark/>
          </w:tcPr>
          <w:p w:rsidR="00241F68" w:rsidRPr="00DE73BC" w:rsidRDefault="00241F68" w:rsidP="00241F68">
            <w:pPr>
              <w:spacing w:before="40" w:after="60"/>
              <w:jc w:val="right"/>
              <w:rPr>
                <w:rFonts w:ascii="Arial" w:hAnsi="Arial" w:cs="Arial"/>
                <w:sz w:val="18"/>
                <w:szCs w:val="18"/>
                <w:lang w:val="en-US"/>
              </w:rPr>
            </w:pPr>
            <w:r w:rsidRPr="00DE73BC">
              <w:rPr>
                <w:rFonts w:ascii="Arial" w:hAnsi="Arial" w:cs="Arial"/>
                <w:sz w:val="18"/>
                <w:szCs w:val="18"/>
              </w:rPr>
              <w:t>55516,1</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57528,3</w:t>
            </w:r>
          </w:p>
        </w:tc>
        <w:tc>
          <w:tcPr>
            <w:tcW w:w="412" w:type="pct"/>
            <w:vAlign w:val="bottom"/>
            <w:hideMark/>
          </w:tcPr>
          <w:p w:rsidR="00241F68" w:rsidRPr="00DE73BC" w:rsidRDefault="00241F68" w:rsidP="00241F68">
            <w:pPr>
              <w:spacing w:before="40" w:after="60"/>
              <w:ind w:left="-10" w:right="-195"/>
              <w:rPr>
                <w:rFonts w:ascii="Arial" w:hAnsi="Arial" w:cs="Arial"/>
                <w:sz w:val="18"/>
                <w:szCs w:val="18"/>
              </w:rPr>
            </w:pPr>
            <w:r w:rsidRPr="00DE73BC">
              <w:rPr>
                <w:rFonts w:ascii="Arial" w:hAnsi="Arial" w:cs="Arial"/>
                <w:sz w:val="18"/>
                <w:szCs w:val="18"/>
              </w:rPr>
              <w:t>67989,3</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82164,7</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117544,1</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127897,5</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134509,4</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168639,1</w:t>
            </w:r>
          </w:p>
        </w:tc>
      </w:tr>
      <w:tr w:rsidR="00241F68" w:rsidRPr="00DE73BC" w:rsidTr="00241F68">
        <w:tc>
          <w:tcPr>
            <w:tcW w:w="882" w:type="pct"/>
            <w:hideMark/>
          </w:tcPr>
          <w:p w:rsidR="00241F68" w:rsidRPr="00DE73BC" w:rsidRDefault="00241F68" w:rsidP="00241F68">
            <w:pPr>
              <w:spacing w:before="40" w:after="60"/>
              <w:ind w:left="252"/>
              <w:rPr>
                <w:rFonts w:ascii="Arial" w:hAnsi="Arial" w:cs="Arial"/>
                <w:sz w:val="18"/>
                <w:szCs w:val="18"/>
              </w:rPr>
            </w:pPr>
            <w:r w:rsidRPr="00DE73BC">
              <w:rPr>
                <w:rFonts w:ascii="Arial" w:hAnsi="Arial" w:cs="Arial"/>
                <w:sz w:val="18"/>
                <w:szCs w:val="18"/>
              </w:rPr>
              <w:t xml:space="preserve">в том числе </w:t>
            </w:r>
            <w:proofErr w:type="gramStart"/>
            <w:r w:rsidRPr="00DE73BC">
              <w:rPr>
                <w:rFonts w:ascii="Arial" w:hAnsi="Arial" w:cs="Arial"/>
                <w:sz w:val="18"/>
                <w:szCs w:val="18"/>
              </w:rPr>
              <w:t>просроче</w:t>
            </w:r>
            <w:r w:rsidRPr="00DE73BC">
              <w:rPr>
                <w:rFonts w:ascii="Arial" w:hAnsi="Arial" w:cs="Arial"/>
                <w:sz w:val="18"/>
                <w:szCs w:val="18"/>
              </w:rPr>
              <w:t>н</w:t>
            </w:r>
            <w:r w:rsidRPr="00DE73BC">
              <w:rPr>
                <w:rFonts w:ascii="Arial" w:hAnsi="Arial" w:cs="Arial"/>
                <w:sz w:val="18"/>
                <w:szCs w:val="18"/>
              </w:rPr>
              <w:t>ная</w:t>
            </w:r>
            <w:proofErr w:type="gramEnd"/>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21435</w:t>
            </w:r>
            <w:r w:rsidRPr="00DE73BC">
              <w:rPr>
                <w:rFonts w:ascii="Arial" w:eastAsiaTheme="minorEastAsia" w:hAnsi="Arial" w:cs="Arial"/>
                <w:sz w:val="18"/>
                <w:szCs w:val="18"/>
              </w:rPr>
              <w:t>,5</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22343,1</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19808,3</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15504,9</w:t>
            </w:r>
          </w:p>
        </w:tc>
        <w:tc>
          <w:tcPr>
            <w:tcW w:w="412" w:type="pct"/>
            <w:vAlign w:val="bottom"/>
            <w:hideMark/>
          </w:tcPr>
          <w:p w:rsidR="00241F68" w:rsidRPr="00DE73BC" w:rsidRDefault="00241F68" w:rsidP="00241F68">
            <w:pPr>
              <w:spacing w:before="40" w:after="60"/>
              <w:ind w:right="-134"/>
              <w:rPr>
                <w:rFonts w:ascii="Arial" w:hAnsi="Arial" w:cs="Arial"/>
                <w:sz w:val="18"/>
                <w:szCs w:val="18"/>
              </w:rPr>
            </w:pPr>
            <w:r w:rsidRPr="00DE73BC">
              <w:rPr>
                <w:rFonts w:ascii="Arial" w:hAnsi="Arial" w:cs="Arial"/>
                <w:sz w:val="18"/>
                <w:szCs w:val="18"/>
              </w:rPr>
              <w:t>13141,0</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8246,2</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7866,5</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9104,3</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7794,8</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8911,3</w:t>
            </w:r>
          </w:p>
        </w:tc>
      </w:tr>
      <w:tr w:rsidR="00241F68" w:rsidRPr="00DE73BC" w:rsidTr="00241F68">
        <w:tc>
          <w:tcPr>
            <w:tcW w:w="882" w:type="pct"/>
            <w:hideMark/>
          </w:tcPr>
          <w:p w:rsidR="00241F68" w:rsidRPr="00DE73BC" w:rsidRDefault="00241F68" w:rsidP="00241F68">
            <w:pPr>
              <w:spacing w:before="40" w:after="60"/>
              <w:ind w:left="168"/>
              <w:rPr>
                <w:rFonts w:ascii="Arial" w:hAnsi="Arial" w:cs="Arial"/>
                <w:sz w:val="18"/>
                <w:szCs w:val="18"/>
              </w:rPr>
            </w:pPr>
            <w:r w:rsidRPr="00DE73BC">
              <w:rPr>
                <w:rFonts w:ascii="Arial" w:hAnsi="Arial" w:cs="Arial"/>
                <w:sz w:val="18"/>
                <w:szCs w:val="18"/>
              </w:rPr>
              <w:t>из суммарной задолже</w:t>
            </w:r>
            <w:r w:rsidRPr="00DE73BC">
              <w:rPr>
                <w:rFonts w:ascii="Arial" w:hAnsi="Arial" w:cs="Arial"/>
                <w:sz w:val="18"/>
                <w:szCs w:val="18"/>
              </w:rPr>
              <w:t>н</w:t>
            </w:r>
            <w:r w:rsidRPr="00DE73BC">
              <w:rPr>
                <w:rFonts w:ascii="Arial" w:hAnsi="Arial" w:cs="Arial"/>
                <w:sz w:val="18"/>
                <w:szCs w:val="18"/>
              </w:rPr>
              <w:t>ности кредиторская з</w:t>
            </w:r>
            <w:r w:rsidRPr="00DE73BC">
              <w:rPr>
                <w:rFonts w:ascii="Arial" w:hAnsi="Arial" w:cs="Arial"/>
                <w:sz w:val="18"/>
                <w:szCs w:val="18"/>
              </w:rPr>
              <w:t>а</w:t>
            </w:r>
            <w:r w:rsidRPr="00DE73BC">
              <w:rPr>
                <w:rFonts w:ascii="Arial" w:hAnsi="Arial" w:cs="Arial"/>
                <w:sz w:val="18"/>
                <w:szCs w:val="18"/>
              </w:rPr>
              <w:t>долженность</w:t>
            </w:r>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36342</w:t>
            </w:r>
            <w:r w:rsidRPr="00DE73BC">
              <w:rPr>
                <w:rFonts w:ascii="Arial" w:eastAsiaTheme="minorEastAsia" w:hAnsi="Arial" w:cs="Arial"/>
                <w:sz w:val="18"/>
                <w:szCs w:val="18"/>
              </w:rPr>
              <w:t>,5</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39750,8</w:t>
            </w:r>
          </w:p>
        </w:tc>
        <w:tc>
          <w:tcPr>
            <w:tcW w:w="412" w:type="pct"/>
            <w:vAlign w:val="bottom"/>
            <w:hideMark/>
          </w:tcPr>
          <w:p w:rsidR="00241F68" w:rsidRPr="00DE73BC" w:rsidRDefault="00241F68" w:rsidP="00241F68">
            <w:pPr>
              <w:spacing w:before="40" w:after="60"/>
              <w:jc w:val="right"/>
              <w:rPr>
                <w:rFonts w:ascii="Arial" w:hAnsi="Arial" w:cs="Arial"/>
                <w:sz w:val="18"/>
                <w:szCs w:val="18"/>
                <w:lang w:val="en-US"/>
              </w:rPr>
            </w:pPr>
            <w:r w:rsidRPr="00DE73BC">
              <w:rPr>
                <w:rFonts w:ascii="Arial" w:hAnsi="Arial" w:cs="Arial"/>
                <w:sz w:val="18"/>
                <w:szCs w:val="18"/>
              </w:rPr>
              <w:t>40187,4</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38013,0</w:t>
            </w:r>
          </w:p>
        </w:tc>
        <w:tc>
          <w:tcPr>
            <w:tcW w:w="412" w:type="pct"/>
            <w:vAlign w:val="bottom"/>
            <w:hideMark/>
          </w:tcPr>
          <w:p w:rsidR="00241F68" w:rsidRPr="00DE73BC" w:rsidRDefault="00241F68" w:rsidP="00241F68">
            <w:pPr>
              <w:spacing w:before="40" w:after="60"/>
              <w:ind w:right="-134"/>
              <w:rPr>
                <w:rFonts w:ascii="Arial" w:hAnsi="Arial" w:cs="Arial"/>
                <w:sz w:val="18"/>
                <w:szCs w:val="18"/>
              </w:rPr>
            </w:pPr>
            <w:r w:rsidRPr="00DE73BC">
              <w:rPr>
                <w:rFonts w:ascii="Arial" w:hAnsi="Arial" w:cs="Arial"/>
                <w:sz w:val="18"/>
                <w:szCs w:val="18"/>
              </w:rPr>
              <w:t>42206,0</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47484,4</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54765,4</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57161,6</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62710,5</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81925,5</w:t>
            </w:r>
          </w:p>
        </w:tc>
      </w:tr>
      <w:tr w:rsidR="00241F68" w:rsidRPr="00DE73BC" w:rsidTr="00241F68">
        <w:tc>
          <w:tcPr>
            <w:tcW w:w="882" w:type="pct"/>
            <w:hideMark/>
          </w:tcPr>
          <w:p w:rsidR="00241F68" w:rsidRPr="00DE73BC" w:rsidRDefault="00241F68" w:rsidP="00241F68">
            <w:pPr>
              <w:spacing w:before="40" w:after="60"/>
              <w:ind w:left="252"/>
              <w:rPr>
                <w:rFonts w:ascii="Arial" w:hAnsi="Arial" w:cs="Arial"/>
                <w:sz w:val="18"/>
                <w:szCs w:val="18"/>
              </w:rPr>
            </w:pPr>
            <w:r w:rsidRPr="00DE73BC">
              <w:rPr>
                <w:rFonts w:ascii="Arial" w:hAnsi="Arial" w:cs="Arial"/>
                <w:sz w:val="18"/>
                <w:szCs w:val="18"/>
              </w:rPr>
              <w:t xml:space="preserve">в том числе </w:t>
            </w:r>
            <w:proofErr w:type="gramStart"/>
            <w:r w:rsidRPr="00DE73BC">
              <w:rPr>
                <w:rFonts w:ascii="Arial" w:hAnsi="Arial" w:cs="Arial"/>
                <w:sz w:val="18"/>
                <w:szCs w:val="18"/>
              </w:rPr>
              <w:t>просроче</w:t>
            </w:r>
            <w:r w:rsidRPr="00DE73BC">
              <w:rPr>
                <w:rFonts w:ascii="Arial" w:hAnsi="Arial" w:cs="Arial"/>
                <w:sz w:val="18"/>
                <w:szCs w:val="18"/>
              </w:rPr>
              <w:t>н</w:t>
            </w:r>
            <w:r w:rsidRPr="00DE73BC">
              <w:rPr>
                <w:rFonts w:ascii="Arial" w:hAnsi="Arial" w:cs="Arial"/>
                <w:sz w:val="18"/>
                <w:szCs w:val="18"/>
              </w:rPr>
              <w:t>ная</w:t>
            </w:r>
            <w:proofErr w:type="gramEnd"/>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20850</w:t>
            </w:r>
            <w:r w:rsidRPr="00DE73BC">
              <w:rPr>
                <w:rFonts w:ascii="Arial" w:eastAsiaTheme="minorEastAsia" w:hAnsi="Arial" w:cs="Arial"/>
                <w:sz w:val="18"/>
                <w:szCs w:val="18"/>
              </w:rPr>
              <w:t>,5</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21395,6</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19382,8</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14630,4</w:t>
            </w:r>
          </w:p>
        </w:tc>
        <w:tc>
          <w:tcPr>
            <w:tcW w:w="412" w:type="pct"/>
            <w:vAlign w:val="bottom"/>
            <w:hideMark/>
          </w:tcPr>
          <w:p w:rsidR="00241F68" w:rsidRPr="00DE73BC" w:rsidRDefault="00241F68" w:rsidP="00241F68">
            <w:pPr>
              <w:spacing w:before="40" w:after="60"/>
              <w:ind w:right="-134"/>
              <w:rPr>
                <w:rFonts w:ascii="Arial" w:hAnsi="Arial" w:cs="Arial"/>
                <w:sz w:val="18"/>
                <w:szCs w:val="18"/>
              </w:rPr>
            </w:pPr>
            <w:r w:rsidRPr="00DE73BC">
              <w:rPr>
                <w:rFonts w:ascii="Arial" w:hAnsi="Arial" w:cs="Arial"/>
                <w:sz w:val="18"/>
                <w:szCs w:val="18"/>
              </w:rPr>
              <w:t>12345,3</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7904,6</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7702,6</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8324,6</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7574,3</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8385,5</w:t>
            </w:r>
          </w:p>
        </w:tc>
      </w:tr>
      <w:tr w:rsidR="00241F68" w:rsidRPr="00DE73BC" w:rsidTr="00241F68">
        <w:tc>
          <w:tcPr>
            <w:tcW w:w="882" w:type="pct"/>
            <w:hideMark/>
          </w:tcPr>
          <w:p w:rsidR="00241F68" w:rsidRPr="00DE73BC" w:rsidRDefault="00241F68" w:rsidP="00241F68">
            <w:pPr>
              <w:spacing w:before="40" w:after="60"/>
              <w:ind w:left="142"/>
              <w:rPr>
                <w:rFonts w:ascii="Arial" w:hAnsi="Arial" w:cs="Arial"/>
                <w:sz w:val="18"/>
                <w:szCs w:val="18"/>
              </w:rPr>
            </w:pPr>
            <w:r w:rsidRPr="00DE73BC">
              <w:rPr>
                <w:rFonts w:ascii="Arial" w:hAnsi="Arial" w:cs="Arial"/>
                <w:sz w:val="18"/>
                <w:szCs w:val="18"/>
              </w:rPr>
              <w:t>задолженность по кред</w:t>
            </w:r>
            <w:r w:rsidRPr="00DE73BC">
              <w:rPr>
                <w:rFonts w:ascii="Arial" w:hAnsi="Arial" w:cs="Arial"/>
                <w:sz w:val="18"/>
                <w:szCs w:val="18"/>
              </w:rPr>
              <w:t>и</w:t>
            </w:r>
            <w:r w:rsidRPr="00DE73BC">
              <w:rPr>
                <w:rFonts w:ascii="Arial" w:hAnsi="Arial" w:cs="Arial"/>
                <w:sz w:val="18"/>
                <w:szCs w:val="18"/>
              </w:rPr>
              <w:t>там и займам</w:t>
            </w:r>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10981</w:t>
            </w:r>
            <w:r w:rsidRPr="00DE73BC">
              <w:rPr>
                <w:rFonts w:ascii="Arial" w:eastAsiaTheme="minorEastAsia" w:hAnsi="Arial" w:cs="Arial"/>
                <w:sz w:val="18"/>
                <w:szCs w:val="18"/>
              </w:rPr>
              <w:t>,9</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10213,2</w:t>
            </w:r>
          </w:p>
        </w:tc>
        <w:tc>
          <w:tcPr>
            <w:tcW w:w="412" w:type="pct"/>
            <w:vAlign w:val="bottom"/>
            <w:hideMark/>
          </w:tcPr>
          <w:p w:rsidR="00241F68" w:rsidRPr="00DE73BC" w:rsidRDefault="00241F68" w:rsidP="00241F68">
            <w:pPr>
              <w:spacing w:before="40" w:after="60"/>
              <w:jc w:val="right"/>
              <w:rPr>
                <w:rFonts w:ascii="Arial" w:hAnsi="Arial" w:cs="Arial"/>
                <w:sz w:val="18"/>
                <w:szCs w:val="18"/>
                <w:lang w:val="en-US"/>
              </w:rPr>
            </w:pPr>
            <w:r w:rsidRPr="00DE73BC">
              <w:rPr>
                <w:rFonts w:ascii="Arial" w:hAnsi="Arial" w:cs="Arial"/>
                <w:sz w:val="18"/>
                <w:szCs w:val="18"/>
              </w:rPr>
              <w:t>15328,7</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19515,3</w:t>
            </w:r>
          </w:p>
        </w:tc>
        <w:tc>
          <w:tcPr>
            <w:tcW w:w="412" w:type="pct"/>
            <w:vAlign w:val="bottom"/>
            <w:hideMark/>
          </w:tcPr>
          <w:p w:rsidR="00241F68" w:rsidRPr="00DE73BC" w:rsidRDefault="00241F68" w:rsidP="00241F68">
            <w:pPr>
              <w:spacing w:before="40" w:after="60"/>
              <w:ind w:right="-134"/>
              <w:rPr>
                <w:rFonts w:ascii="Arial" w:hAnsi="Arial" w:cs="Arial"/>
                <w:sz w:val="18"/>
                <w:szCs w:val="18"/>
              </w:rPr>
            </w:pPr>
            <w:r w:rsidRPr="00DE73BC">
              <w:rPr>
                <w:rFonts w:ascii="Arial" w:hAnsi="Arial" w:cs="Arial"/>
                <w:sz w:val="18"/>
                <w:szCs w:val="18"/>
              </w:rPr>
              <w:t>25783,3</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34680,3</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62778,7</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70735,9</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71798,9</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86713,6</w:t>
            </w:r>
          </w:p>
        </w:tc>
      </w:tr>
      <w:tr w:rsidR="00241F68" w:rsidRPr="00DE73BC" w:rsidTr="00241F68">
        <w:tc>
          <w:tcPr>
            <w:tcW w:w="882" w:type="pct"/>
            <w:hideMark/>
          </w:tcPr>
          <w:p w:rsidR="00241F68" w:rsidRPr="00DE73BC" w:rsidRDefault="00241F68" w:rsidP="00241F68">
            <w:pPr>
              <w:spacing w:before="40" w:after="60"/>
              <w:ind w:left="252"/>
              <w:rPr>
                <w:rFonts w:ascii="Arial" w:hAnsi="Arial" w:cs="Arial"/>
                <w:sz w:val="18"/>
                <w:szCs w:val="18"/>
              </w:rPr>
            </w:pPr>
            <w:r w:rsidRPr="00DE73BC">
              <w:rPr>
                <w:rFonts w:ascii="Arial" w:hAnsi="Arial" w:cs="Arial"/>
                <w:sz w:val="18"/>
                <w:szCs w:val="18"/>
              </w:rPr>
              <w:t xml:space="preserve">в том числе </w:t>
            </w:r>
            <w:proofErr w:type="gramStart"/>
            <w:r w:rsidRPr="00DE73BC">
              <w:rPr>
                <w:rFonts w:ascii="Arial" w:hAnsi="Arial" w:cs="Arial"/>
                <w:sz w:val="18"/>
                <w:szCs w:val="18"/>
              </w:rPr>
              <w:t>просроче</w:t>
            </w:r>
            <w:r w:rsidRPr="00DE73BC">
              <w:rPr>
                <w:rFonts w:ascii="Arial" w:hAnsi="Arial" w:cs="Arial"/>
                <w:sz w:val="18"/>
                <w:szCs w:val="18"/>
              </w:rPr>
              <w:t>н</w:t>
            </w:r>
            <w:r w:rsidRPr="00DE73BC">
              <w:rPr>
                <w:rFonts w:ascii="Arial" w:hAnsi="Arial" w:cs="Arial"/>
                <w:sz w:val="18"/>
                <w:szCs w:val="18"/>
              </w:rPr>
              <w:t>ная</w:t>
            </w:r>
            <w:proofErr w:type="gramEnd"/>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585</w:t>
            </w:r>
            <w:r w:rsidRPr="00DE73BC">
              <w:rPr>
                <w:rFonts w:ascii="Arial" w:eastAsiaTheme="minorEastAsia" w:hAnsi="Arial" w:cs="Arial"/>
                <w:sz w:val="18"/>
                <w:szCs w:val="18"/>
              </w:rPr>
              <w:t>,0</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947,5</w:t>
            </w:r>
          </w:p>
        </w:tc>
        <w:tc>
          <w:tcPr>
            <w:tcW w:w="412" w:type="pct"/>
            <w:vAlign w:val="bottom"/>
            <w:hideMark/>
          </w:tcPr>
          <w:p w:rsidR="00241F68" w:rsidRPr="00DE73BC" w:rsidRDefault="00241F68" w:rsidP="00241F68">
            <w:pPr>
              <w:spacing w:before="40" w:after="60"/>
              <w:jc w:val="right"/>
              <w:rPr>
                <w:rFonts w:ascii="Arial" w:hAnsi="Arial" w:cs="Arial"/>
                <w:sz w:val="18"/>
                <w:szCs w:val="18"/>
                <w:lang w:val="en-US"/>
              </w:rPr>
            </w:pPr>
            <w:r w:rsidRPr="00DE73BC">
              <w:rPr>
                <w:rFonts w:ascii="Arial" w:hAnsi="Arial" w:cs="Arial"/>
                <w:sz w:val="18"/>
                <w:szCs w:val="18"/>
              </w:rPr>
              <w:t>425,5</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874,5</w:t>
            </w:r>
          </w:p>
        </w:tc>
        <w:tc>
          <w:tcPr>
            <w:tcW w:w="412" w:type="pct"/>
            <w:vAlign w:val="bottom"/>
            <w:hideMark/>
          </w:tcPr>
          <w:p w:rsidR="00241F68" w:rsidRPr="00DE73BC" w:rsidRDefault="00241F68" w:rsidP="00241F68">
            <w:pPr>
              <w:spacing w:before="40" w:after="60"/>
              <w:ind w:right="-134"/>
              <w:jc w:val="center"/>
              <w:rPr>
                <w:rFonts w:ascii="Arial" w:hAnsi="Arial" w:cs="Arial"/>
                <w:sz w:val="18"/>
                <w:szCs w:val="18"/>
              </w:rPr>
            </w:pPr>
            <w:r w:rsidRPr="00DE73BC">
              <w:rPr>
                <w:rFonts w:ascii="Arial" w:hAnsi="Arial" w:cs="Arial"/>
                <w:sz w:val="18"/>
                <w:szCs w:val="18"/>
              </w:rPr>
              <w:t>795,7</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341,6</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163,9</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779,7</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220,5</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525,8</w:t>
            </w:r>
          </w:p>
        </w:tc>
      </w:tr>
      <w:tr w:rsidR="00241F68" w:rsidRPr="00DE73BC" w:rsidTr="00241F68">
        <w:tc>
          <w:tcPr>
            <w:tcW w:w="882" w:type="pct"/>
            <w:hideMark/>
          </w:tcPr>
          <w:p w:rsidR="00241F68" w:rsidRPr="00DE73BC" w:rsidRDefault="00241F68" w:rsidP="00241F68">
            <w:pPr>
              <w:spacing w:before="40" w:after="60"/>
              <w:rPr>
                <w:rFonts w:ascii="Arial" w:hAnsi="Arial" w:cs="Arial"/>
                <w:sz w:val="18"/>
                <w:szCs w:val="18"/>
              </w:rPr>
            </w:pPr>
            <w:r w:rsidRPr="00DE73BC">
              <w:rPr>
                <w:rFonts w:ascii="Arial" w:hAnsi="Arial" w:cs="Arial"/>
                <w:sz w:val="18"/>
                <w:szCs w:val="18"/>
              </w:rPr>
              <w:t>Дебиторская задолже</w:t>
            </w:r>
            <w:r w:rsidRPr="00DE73BC">
              <w:rPr>
                <w:rFonts w:ascii="Arial" w:hAnsi="Arial" w:cs="Arial"/>
                <w:sz w:val="18"/>
                <w:szCs w:val="18"/>
              </w:rPr>
              <w:t>н</w:t>
            </w:r>
            <w:r w:rsidRPr="00DE73BC">
              <w:rPr>
                <w:rFonts w:ascii="Arial" w:hAnsi="Arial" w:cs="Arial"/>
                <w:sz w:val="18"/>
                <w:szCs w:val="18"/>
              </w:rPr>
              <w:t>ность</w:t>
            </w:r>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20577</w:t>
            </w:r>
            <w:r w:rsidRPr="00DE73BC">
              <w:rPr>
                <w:rFonts w:ascii="Arial" w:eastAsiaTheme="minorEastAsia" w:hAnsi="Arial" w:cs="Arial"/>
                <w:sz w:val="18"/>
                <w:szCs w:val="18"/>
              </w:rPr>
              <w:t>,7</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22974,1</w:t>
            </w:r>
          </w:p>
        </w:tc>
        <w:tc>
          <w:tcPr>
            <w:tcW w:w="412" w:type="pct"/>
            <w:vAlign w:val="bottom"/>
            <w:hideMark/>
          </w:tcPr>
          <w:p w:rsidR="00241F68" w:rsidRPr="00DE73BC" w:rsidRDefault="00241F68" w:rsidP="00241F68">
            <w:pPr>
              <w:spacing w:before="40" w:after="60"/>
              <w:jc w:val="right"/>
              <w:rPr>
                <w:rFonts w:ascii="Arial" w:hAnsi="Arial" w:cs="Arial"/>
                <w:sz w:val="18"/>
                <w:szCs w:val="18"/>
                <w:lang w:val="en-US"/>
              </w:rPr>
            </w:pPr>
            <w:r w:rsidRPr="00DE73BC">
              <w:rPr>
                <w:rFonts w:ascii="Arial" w:hAnsi="Arial" w:cs="Arial"/>
                <w:sz w:val="18"/>
                <w:szCs w:val="18"/>
              </w:rPr>
              <w:t>25767,8</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29175,8</w:t>
            </w:r>
          </w:p>
        </w:tc>
        <w:tc>
          <w:tcPr>
            <w:tcW w:w="412" w:type="pct"/>
            <w:vAlign w:val="bottom"/>
            <w:hideMark/>
          </w:tcPr>
          <w:p w:rsidR="00241F68" w:rsidRPr="00DE73BC" w:rsidRDefault="00241F68" w:rsidP="00241F68">
            <w:pPr>
              <w:spacing w:before="40" w:after="60"/>
              <w:ind w:right="-134"/>
              <w:jc w:val="center"/>
              <w:rPr>
                <w:rFonts w:ascii="Arial" w:hAnsi="Arial" w:cs="Arial"/>
                <w:sz w:val="18"/>
                <w:szCs w:val="18"/>
              </w:rPr>
            </w:pPr>
            <w:r w:rsidRPr="00DE73BC">
              <w:rPr>
                <w:rFonts w:ascii="Arial" w:hAnsi="Arial" w:cs="Arial"/>
                <w:sz w:val="18"/>
                <w:szCs w:val="18"/>
              </w:rPr>
              <w:t>33497,0</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40361,1</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53880,2</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54237,5</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56551,7</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67106,3</w:t>
            </w:r>
          </w:p>
        </w:tc>
      </w:tr>
      <w:tr w:rsidR="00241F68" w:rsidRPr="00DE73BC" w:rsidTr="00241F68">
        <w:tc>
          <w:tcPr>
            <w:tcW w:w="882" w:type="pct"/>
            <w:hideMark/>
          </w:tcPr>
          <w:p w:rsidR="00241F68" w:rsidRPr="00DE73BC" w:rsidRDefault="00241F68" w:rsidP="00241F68">
            <w:pPr>
              <w:spacing w:before="40" w:after="60"/>
              <w:ind w:left="252"/>
              <w:rPr>
                <w:rFonts w:ascii="Arial" w:hAnsi="Arial" w:cs="Arial"/>
                <w:sz w:val="18"/>
                <w:szCs w:val="18"/>
              </w:rPr>
            </w:pPr>
            <w:r w:rsidRPr="00DE73BC">
              <w:rPr>
                <w:rFonts w:ascii="Arial" w:hAnsi="Arial" w:cs="Arial"/>
                <w:sz w:val="18"/>
                <w:szCs w:val="18"/>
              </w:rPr>
              <w:t xml:space="preserve">в том числе </w:t>
            </w:r>
            <w:proofErr w:type="gramStart"/>
            <w:r w:rsidRPr="00DE73BC">
              <w:rPr>
                <w:rFonts w:ascii="Arial" w:hAnsi="Arial" w:cs="Arial"/>
                <w:sz w:val="18"/>
                <w:szCs w:val="18"/>
              </w:rPr>
              <w:t>просроче</w:t>
            </w:r>
            <w:r w:rsidRPr="00DE73BC">
              <w:rPr>
                <w:rFonts w:ascii="Arial" w:hAnsi="Arial" w:cs="Arial"/>
                <w:sz w:val="18"/>
                <w:szCs w:val="18"/>
              </w:rPr>
              <w:t>н</w:t>
            </w:r>
            <w:r w:rsidRPr="00DE73BC">
              <w:rPr>
                <w:rFonts w:ascii="Arial" w:hAnsi="Arial" w:cs="Arial"/>
                <w:sz w:val="18"/>
                <w:szCs w:val="18"/>
              </w:rPr>
              <w:t>ная</w:t>
            </w:r>
            <w:proofErr w:type="gramEnd"/>
          </w:p>
        </w:tc>
        <w:tc>
          <w:tcPr>
            <w:tcW w:w="411" w:type="pct"/>
            <w:vAlign w:val="bottom"/>
          </w:tcPr>
          <w:p w:rsidR="00241F68" w:rsidRPr="00DE73BC" w:rsidRDefault="00241F68" w:rsidP="00241F68">
            <w:pPr>
              <w:spacing w:before="40" w:after="60"/>
              <w:jc w:val="right"/>
              <w:rPr>
                <w:rFonts w:ascii="Arial" w:eastAsiaTheme="minorEastAsia" w:hAnsi="Arial" w:cs="Arial"/>
                <w:sz w:val="18"/>
                <w:szCs w:val="18"/>
              </w:rPr>
            </w:pPr>
            <w:r w:rsidRPr="00DE73BC">
              <w:rPr>
                <w:rFonts w:ascii="Arial" w:hAnsi="Arial" w:cs="Arial"/>
                <w:sz w:val="18"/>
                <w:szCs w:val="18"/>
              </w:rPr>
              <w:t>12265</w:t>
            </w:r>
            <w:r w:rsidRPr="00DE73BC">
              <w:rPr>
                <w:rFonts w:ascii="Arial" w:eastAsiaTheme="minorEastAsia" w:hAnsi="Arial" w:cs="Arial"/>
                <w:sz w:val="18"/>
                <w:szCs w:val="18"/>
              </w:rPr>
              <w:t>,0</w:t>
            </w:r>
          </w:p>
        </w:tc>
        <w:tc>
          <w:tcPr>
            <w:tcW w:w="412" w:type="pct"/>
            <w:vAlign w:val="bottom"/>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11697,8</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12421,8</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11062,6</w:t>
            </w:r>
          </w:p>
        </w:tc>
        <w:tc>
          <w:tcPr>
            <w:tcW w:w="412" w:type="pct"/>
            <w:vAlign w:val="bottom"/>
            <w:hideMark/>
          </w:tcPr>
          <w:p w:rsidR="00241F68" w:rsidRPr="00DE73BC" w:rsidRDefault="00241F68" w:rsidP="00241F68">
            <w:pPr>
              <w:spacing w:before="40" w:after="60"/>
              <w:jc w:val="center"/>
              <w:rPr>
                <w:rFonts w:ascii="Arial" w:hAnsi="Arial" w:cs="Arial"/>
                <w:sz w:val="18"/>
                <w:szCs w:val="18"/>
              </w:rPr>
            </w:pPr>
            <w:r w:rsidRPr="00DE73BC">
              <w:rPr>
                <w:rFonts w:ascii="Arial" w:hAnsi="Arial" w:cs="Arial"/>
                <w:sz w:val="18"/>
                <w:szCs w:val="18"/>
              </w:rPr>
              <w:t>6304,4</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6294,0</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9202,6</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9775,5</w:t>
            </w:r>
          </w:p>
        </w:tc>
        <w:tc>
          <w:tcPr>
            <w:tcW w:w="412"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11313,4</w:t>
            </w:r>
          </w:p>
        </w:tc>
        <w:tc>
          <w:tcPr>
            <w:tcW w:w="411" w:type="pct"/>
            <w:vAlign w:val="bottom"/>
            <w:hideMark/>
          </w:tcPr>
          <w:p w:rsidR="00241F68" w:rsidRPr="00DE73BC" w:rsidRDefault="00241F68" w:rsidP="00241F68">
            <w:pPr>
              <w:spacing w:before="40" w:after="60"/>
              <w:jc w:val="right"/>
              <w:rPr>
                <w:rFonts w:ascii="Arial" w:hAnsi="Arial" w:cs="Arial"/>
                <w:sz w:val="18"/>
                <w:szCs w:val="18"/>
              </w:rPr>
            </w:pPr>
            <w:r w:rsidRPr="00DE73BC">
              <w:rPr>
                <w:rFonts w:ascii="Arial" w:hAnsi="Arial" w:cs="Arial"/>
                <w:sz w:val="18"/>
                <w:szCs w:val="18"/>
              </w:rPr>
              <w:t>11823,7</w:t>
            </w:r>
          </w:p>
        </w:tc>
      </w:tr>
    </w:tbl>
    <w:p w:rsidR="00241F68" w:rsidRDefault="00241F68" w:rsidP="00F15D5C">
      <w:pPr>
        <w:ind w:firstLine="284"/>
        <w:jc w:val="both"/>
        <w:rPr>
          <w:rFonts w:ascii="Arial" w:hAnsi="Arial" w:cs="Arial"/>
          <w:sz w:val="22"/>
          <w:szCs w:val="22"/>
        </w:rPr>
      </w:pPr>
    </w:p>
    <w:p w:rsidR="00241F68" w:rsidRDefault="00241F68">
      <w:pPr>
        <w:rPr>
          <w:rFonts w:ascii="Arial" w:hAnsi="Arial"/>
          <w:b/>
          <w:i/>
          <w:caps/>
          <w:color w:val="548DD4" w:themeColor="text2" w:themeTint="99"/>
          <w:kern w:val="28"/>
          <w:sz w:val="24"/>
        </w:rPr>
      </w:pPr>
      <w:bookmarkStart w:id="32" w:name="_Toc309826899"/>
      <w:r>
        <w:rPr>
          <w:color w:val="548DD4" w:themeColor="text2" w:themeTint="99"/>
        </w:rPr>
        <w:br w:type="page"/>
      </w:r>
    </w:p>
    <w:p w:rsidR="0095321F" w:rsidRPr="00217011" w:rsidRDefault="0095321F" w:rsidP="0095321F">
      <w:pPr>
        <w:pStyle w:val="1"/>
        <w:rPr>
          <w:color w:val="548DD4" w:themeColor="text2" w:themeTint="99"/>
        </w:rPr>
      </w:pPr>
      <w:r w:rsidRPr="00217011">
        <w:rPr>
          <w:color w:val="548DD4" w:themeColor="text2" w:themeTint="99"/>
        </w:rPr>
        <w:lastRenderedPageBreak/>
        <w:t>ЦЕНЫ И ТАРИФЫ</w:t>
      </w:r>
      <w:bookmarkEnd w:id="32"/>
    </w:p>
    <w:p w:rsidR="0095321F" w:rsidRPr="001A7EAE" w:rsidRDefault="0095321F" w:rsidP="0095321F">
      <w:pPr>
        <w:pStyle w:val="a9"/>
        <w:spacing w:line="240" w:lineRule="auto"/>
        <w:jc w:val="both"/>
        <w:rPr>
          <w:rFonts w:cs="Arial"/>
          <w:iCs/>
          <w:sz w:val="24"/>
          <w:szCs w:val="24"/>
        </w:rPr>
      </w:pPr>
    </w:p>
    <w:p w:rsidR="0095321F" w:rsidRPr="00AB00B2" w:rsidRDefault="0095321F" w:rsidP="0095321F">
      <w:pPr>
        <w:pStyle w:val="aa"/>
        <w:spacing w:before="120" w:line="240" w:lineRule="auto"/>
        <w:ind w:right="-142" w:firstLine="0"/>
        <w:rPr>
          <w:rFonts w:cs="Arial"/>
          <w:sz w:val="22"/>
        </w:rPr>
      </w:pPr>
      <w:r>
        <w:rPr>
          <w:rFonts w:cs="Arial"/>
          <w:noProof/>
          <w:sz w:val="22"/>
        </w:rPr>
        <w:drawing>
          <wp:anchor distT="0" distB="0" distL="114300" distR="114300" simplePos="0" relativeHeight="251783168" behindDoc="0" locked="0" layoutInCell="1" allowOverlap="1">
            <wp:simplePos x="0" y="0"/>
            <wp:positionH relativeFrom="margin">
              <wp:posOffset>53975</wp:posOffset>
            </wp:positionH>
            <wp:positionV relativeFrom="margin">
              <wp:posOffset>384810</wp:posOffset>
            </wp:positionV>
            <wp:extent cx="1318895" cy="991870"/>
            <wp:effectExtent l="19050" t="0" r="0" b="0"/>
            <wp:wrapSquare wrapText="bothSides"/>
            <wp:docPr id="89" name="Рисунок 52" descr="цен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ны3.jpg"/>
                    <pic:cNvPicPr/>
                  </pic:nvPicPr>
                  <pic:blipFill>
                    <a:blip r:embed="rId66"/>
                    <a:stretch>
                      <a:fillRect/>
                    </a:stretch>
                  </pic:blipFill>
                  <pic:spPr>
                    <a:xfrm>
                      <a:off x="0" y="0"/>
                      <a:ext cx="1318895" cy="991870"/>
                    </a:xfrm>
                    <a:prstGeom prst="rect">
                      <a:avLst/>
                    </a:prstGeom>
                  </pic:spPr>
                </pic:pic>
              </a:graphicData>
            </a:graphic>
          </wp:anchor>
        </w:drawing>
      </w:r>
      <w:r w:rsidRPr="00AB00B2">
        <w:rPr>
          <w:rFonts w:cs="Arial"/>
          <w:sz w:val="22"/>
        </w:rPr>
        <w:t>C 1991 года органами государственной статистики проводится сбор информации об уровне цен и тарифов на тов</w:t>
      </w:r>
      <w:r w:rsidRPr="00AB00B2">
        <w:rPr>
          <w:rFonts w:cs="Arial"/>
          <w:sz w:val="22"/>
        </w:rPr>
        <w:t>а</w:t>
      </w:r>
      <w:r w:rsidRPr="00AB00B2">
        <w:rPr>
          <w:rFonts w:cs="Arial"/>
          <w:sz w:val="22"/>
        </w:rPr>
        <w:t>ры народного потребления и платные услуги населению, а также об уровне цен и тарифов в отраслях материальн</w:t>
      </w:r>
      <w:r w:rsidRPr="00AB00B2">
        <w:rPr>
          <w:rFonts w:cs="Arial"/>
          <w:sz w:val="22"/>
        </w:rPr>
        <w:t>о</w:t>
      </w:r>
      <w:r w:rsidRPr="00AB00B2">
        <w:rPr>
          <w:rFonts w:cs="Arial"/>
          <w:sz w:val="22"/>
        </w:rPr>
        <w:t>го производства. На основе полученных данных осуществляются расчеты изменения цен в отдельных секторах эк</w:t>
      </w:r>
      <w:r w:rsidRPr="00AB00B2">
        <w:rPr>
          <w:rFonts w:cs="Arial"/>
          <w:sz w:val="22"/>
        </w:rPr>
        <w:t>о</w:t>
      </w:r>
      <w:r w:rsidRPr="00AB00B2">
        <w:rPr>
          <w:rFonts w:cs="Arial"/>
          <w:sz w:val="22"/>
        </w:rPr>
        <w:t xml:space="preserve">номики. </w:t>
      </w:r>
    </w:p>
    <w:p w:rsidR="0095321F" w:rsidRPr="00AB00B2" w:rsidRDefault="0095321F" w:rsidP="0095321F">
      <w:pPr>
        <w:pStyle w:val="aa"/>
        <w:spacing w:line="240" w:lineRule="auto"/>
        <w:ind w:right="-142" w:firstLine="0"/>
        <w:rPr>
          <w:rFonts w:cs="Arial"/>
          <w:sz w:val="22"/>
        </w:rPr>
      </w:pPr>
      <w:r w:rsidRPr="00AB00B2">
        <w:rPr>
          <w:rFonts w:cs="Arial"/>
          <w:sz w:val="22"/>
        </w:rPr>
        <w:t xml:space="preserve">Система индексов цен, рассчитанных территориальным органом Федеральной службы </w:t>
      </w:r>
      <w:proofErr w:type="spellStart"/>
      <w:r w:rsidRPr="00AB00B2">
        <w:rPr>
          <w:rFonts w:cs="Arial"/>
          <w:sz w:val="22"/>
        </w:rPr>
        <w:t>госстатистики</w:t>
      </w:r>
      <w:proofErr w:type="spellEnd"/>
      <w:r w:rsidRPr="00AB00B2">
        <w:rPr>
          <w:rFonts w:cs="Arial"/>
          <w:sz w:val="22"/>
        </w:rPr>
        <w:t xml:space="preserve"> по Ульяно</w:t>
      </w:r>
      <w:r w:rsidRPr="00AB00B2">
        <w:rPr>
          <w:rFonts w:cs="Arial"/>
          <w:sz w:val="22"/>
        </w:rPr>
        <w:t>в</w:t>
      </w:r>
      <w:r w:rsidRPr="00AB00B2">
        <w:rPr>
          <w:rFonts w:cs="Arial"/>
          <w:sz w:val="22"/>
        </w:rPr>
        <w:t xml:space="preserve">ской области, включает в себя индексы: </w:t>
      </w:r>
    </w:p>
    <w:p w:rsidR="0095321F" w:rsidRPr="00AB00B2" w:rsidRDefault="0095321F" w:rsidP="0095321F">
      <w:pPr>
        <w:pStyle w:val="aa"/>
        <w:numPr>
          <w:ilvl w:val="0"/>
          <w:numId w:val="3"/>
        </w:numPr>
        <w:spacing w:before="20" w:after="20" w:line="240" w:lineRule="auto"/>
        <w:ind w:left="1134" w:right="-142" w:hanging="425"/>
        <w:rPr>
          <w:rFonts w:cs="Arial"/>
          <w:sz w:val="22"/>
        </w:rPr>
      </w:pPr>
      <w:r w:rsidRPr="00AB00B2">
        <w:rPr>
          <w:rFonts w:cs="Arial"/>
          <w:sz w:val="22"/>
        </w:rPr>
        <w:t>цен и тарифов на товары и услуги на потребительском рынке и на рынке жилья;</w:t>
      </w:r>
    </w:p>
    <w:p w:rsidR="0095321F" w:rsidRPr="00AB00B2" w:rsidRDefault="0095321F" w:rsidP="0095321F">
      <w:pPr>
        <w:pStyle w:val="aa"/>
        <w:numPr>
          <w:ilvl w:val="0"/>
          <w:numId w:val="3"/>
        </w:numPr>
        <w:spacing w:before="20" w:after="20" w:line="240" w:lineRule="auto"/>
        <w:ind w:left="1134" w:right="-142" w:hanging="425"/>
        <w:rPr>
          <w:rFonts w:cs="Arial"/>
          <w:sz w:val="22"/>
        </w:rPr>
      </w:pPr>
      <w:r w:rsidRPr="00AB00B2">
        <w:rPr>
          <w:rFonts w:cs="Arial"/>
          <w:sz w:val="22"/>
        </w:rPr>
        <w:t xml:space="preserve">цен производителей промышленных товаров; </w:t>
      </w:r>
    </w:p>
    <w:p w:rsidR="0095321F" w:rsidRPr="00AB00B2" w:rsidRDefault="0095321F" w:rsidP="0095321F">
      <w:pPr>
        <w:pStyle w:val="aa"/>
        <w:numPr>
          <w:ilvl w:val="0"/>
          <w:numId w:val="3"/>
        </w:numPr>
        <w:spacing w:before="20" w:after="20" w:line="240" w:lineRule="auto"/>
        <w:ind w:left="1134" w:right="-142" w:hanging="425"/>
        <w:rPr>
          <w:rFonts w:cs="Arial"/>
          <w:sz w:val="22"/>
        </w:rPr>
      </w:pPr>
      <w:r w:rsidRPr="00AB00B2">
        <w:rPr>
          <w:rFonts w:cs="Arial"/>
          <w:sz w:val="22"/>
        </w:rPr>
        <w:t xml:space="preserve">цен строительной продукции; </w:t>
      </w:r>
    </w:p>
    <w:p w:rsidR="0095321F" w:rsidRPr="00AB00B2" w:rsidRDefault="0095321F" w:rsidP="0095321F">
      <w:pPr>
        <w:pStyle w:val="aa"/>
        <w:numPr>
          <w:ilvl w:val="0"/>
          <w:numId w:val="3"/>
        </w:numPr>
        <w:spacing w:before="20" w:after="20" w:line="240" w:lineRule="auto"/>
        <w:ind w:left="1134" w:right="-142" w:hanging="425"/>
        <w:rPr>
          <w:rFonts w:cs="Arial"/>
          <w:sz w:val="22"/>
        </w:rPr>
      </w:pPr>
      <w:r w:rsidRPr="00AB00B2">
        <w:rPr>
          <w:rFonts w:cs="Arial"/>
          <w:sz w:val="22"/>
        </w:rPr>
        <w:t xml:space="preserve">цен на реализованную сельхозпродукцию; </w:t>
      </w:r>
    </w:p>
    <w:p w:rsidR="0095321F" w:rsidRPr="00AB00B2" w:rsidRDefault="0095321F" w:rsidP="0095321F">
      <w:pPr>
        <w:pStyle w:val="aa"/>
        <w:numPr>
          <w:ilvl w:val="0"/>
          <w:numId w:val="3"/>
        </w:numPr>
        <w:spacing w:before="20" w:after="20" w:line="240" w:lineRule="auto"/>
        <w:ind w:left="1134" w:right="-142" w:hanging="425"/>
        <w:rPr>
          <w:rFonts w:cs="Arial"/>
          <w:sz w:val="22"/>
        </w:rPr>
      </w:pPr>
      <w:r w:rsidRPr="00AB00B2">
        <w:rPr>
          <w:rFonts w:cs="Arial"/>
          <w:sz w:val="22"/>
        </w:rPr>
        <w:t>тарифов на грузовые перевозки и на услуги связи для юридических лиц;</w:t>
      </w:r>
    </w:p>
    <w:p w:rsidR="0095321F" w:rsidRPr="004C5062" w:rsidRDefault="0095321F" w:rsidP="0095321F">
      <w:pPr>
        <w:pStyle w:val="aa"/>
        <w:numPr>
          <w:ilvl w:val="0"/>
          <w:numId w:val="3"/>
        </w:numPr>
        <w:spacing w:before="20" w:after="20" w:line="240" w:lineRule="auto"/>
        <w:ind w:left="1134" w:right="-142" w:hanging="425"/>
        <w:rPr>
          <w:rFonts w:cs="Arial"/>
          <w:i/>
          <w:sz w:val="22"/>
        </w:rPr>
      </w:pPr>
      <w:r w:rsidRPr="00AB00B2">
        <w:rPr>
          <w:rFonts w:cs="Arial"/>
          <w:sz w:val="22"/>
        </w:rPr>
        <w:t xml:space="preserve">цен на приобретаемые промышленными, строительными и сельскохозяйственными организациями </w:t>
      </w:r>
      <w:r>
        <w:rPr>
          <w:rFonts w:cs="Arial"/>
          <w:sz w:val="22"/>
        </w:rPr>
        <w:t xml:space="preserve">на </w:t>
      </w:r>
      <w:r w:rsidRPr="001763AF">
        <w:rPr>
          <w:rFonts w:cs="Arial"/>
          <w:sz w:val="22"/>
        </w:rPr>
        <w:t>отдельные виды тов</w:t>
      </w:r>
      <w:r w:rsidRPr="001763AF">
        <w:rPr>
          <w:rFonts w:cs="Arial"/>
          <w:sz w:val="22"/>
        </w:rPr>
        <w:t>а</w:t>
      </w:r>
      <w:r w:rsidRPr="001763AF">
        <w:rPr>
          <w:rFonts w:cs="Arial"/>
          <w:sz w:val="22"/>
        </w:rPr>
        <w:t>ров</w:t>
      </w:r>
      <w:r w:rsidRPr="004C5062">
        <w:rPr>
          <w:rFonts w:cs="Arial"/>
          <w:i/>
          <w:sz w:val="22"/>
        </w:rPr>
        <w:t>.</w:t>
      </w:r>
    </w:p>
    <w:p w:rsidR="0095321F" w:rsidRPr="00AB00B2" w:rsidRDefault="0095321F" w:rsidP="0095321F">
      <w:pPr>
        <w:pStyle w:val="aa"/>
        <w:spacing w:line="240" w:lineRule="auto"/>
        <w:ind w:right="-142"/>
        <w:rPr>
          <w:rFonts w:cs="Arial"/>
          <w:sz w:val="22"/>
        </w:rPr>
      </w:pPr>
      <w:r w:rsidRPr="00AB00B2">
        <w:rPr>
          <w:rFonts w:cs="Arial"/>
          <w:sz w:val="22"/>
        </w:rPr>
        <w:t>Индекс потребительских цен – относительный показатель характеризующий изменение во времени общего уровня цен на товары и услуги, приобретаемые населением для непроизводственного потребления. Он измеряет отношение стоимости фиксированного набора товаров и услуг в ценах текущего периода к его стоимости в ценах предыдущего (базисного) периода, является одним из важнейших пок</w:t>
      </w:r>
      <w:r w:rsidRPr="00AB00B2">
        <w:rPr>
          <w:rFonts w:cs="Arial"/>
          <w:sz w:val="22"/>
        </w:rPr>
        <w:t>а</w:t>
      </w:r>
      <w:r w:rsidRPr="00AB00B2">
        <w:rPr>
          <w:rFonts w:cs="Arial"/>
          <w:sz w:val="22"/>
        </w:rPr>
        <w:t>зателей инфляции.</w:t>
      </w:r>
    </w:p>
    <w:p w:rsidR="0095321F" w:rsidRPr="00AB00B2" w:rsidRDefault="0095321F" w:rsidP="0095321F">
      <w:pPr>
        <w:pStyle w:val="aa"/>
        <w:spacing w:line="240" w:lineRule="auto"/>
        <w:ind w:right="-142"/>
        <w:rPr>
          <w:rFonts w:cs="Arial"/>
          <w:sz w:val="22"/>
        </w:rPr>
      </w:pPr>
      <w:r w:rsidRPr="00AB00B2">
        <w:rPr>
          <w:rFonts w:cs="Arial"/>
          <w:sz w:val="22"/>
        </w:rPr>
        <w:t>Важнейшей частью проводимых в России реформ явилась либерализация цен. С января 1992 года большая часть продукции и</w:t>
      </w:r>
      <w:r>
        <w:rPr>
          <w:rFonts w:cs="Arial"/>
          <w:bCs/>
          <w:sz w:val="22"/>
        </w:rPr>
        <w:t xml:space="preserve"> ус</w:t>
      </w:r>
      <w:r w:rsidRPr="00AB00B2">
        <w:rPr>
          <w:rFonts w:cs="Arial"/>
          <w:sz w:val="22"/>
        </w:rPr>
        <w:t>луг начала реализовываться по свободным ценам. В январе 1992 года индекс потребительских цен на товары и платные услуги в обл</w:t>
      </w:r>
      <w:r w:rsidRPr="00AB00B2">
        <w:rPr>
          <w:rFonts w:cs="Arial"/>
          <w:sz w:val="22"/>
        </w:rPr>
        <w:t>а</w:t>
      </w:r>
      <w:r w:rsidRPr="00AB00B2">
        <w:rPr>
          <w:rFonts w:cs="Arial"/>
          <w:sz w:val="22"/>
        </w:rPr>
        <w:t>сти был самым высоким за весь период реформы – 406,9%. Цены на потребительском рынке к концу 1992 года выросли в 22 раза, а цены производителей на промышленную продукцию – почти в 46 раз. В 1993 году темпы роста, как потребительских цен, так и цен производ</w:t>
      </w:r>
      <w:r w:rsidRPr="00AB00B2">
        <w:rPr>
          <w:rFonts w:cs="Arial"/>
          <w:sz w:val="22"/>
        </w:rPr>
        <w:t>и</w:t>
      </w:r>
      <w:r w:rsidRPr="00AB00B2">
        <w:rPr>
          <w:rFonts w:cs="Arial"/>
          <w:sz w:val="22"/>
        </w:rPr>
        <w:t>телей, оставались высокими (почти в 9 раз). Последующие годы (1994 – 1997 гг.) характеризовались переходом от высокой инфляции к сравнительно умеренным темпам роста цен. В эти годы произошло сближение темпов роста цен на потребительском рынке и цен прои</w:t>
      </w:r>
      <w:r w:rsidRPr="00AB00B2">
        <w:rPr>
          <w:rFonts w:cs="Arial"/>
          <w:sz w:val="22"/>
        </w:rPr>
        <w:t>з</w:t>
      </w:r>
      <w:r w:rsidRPr="00AB00B2">
        <w:rPr>
          <w:rFonts w:cs="Arial"/>
          <w:sz w:val="22"/>
        </w:rPr>
        <w:t xml:space="preserve">водителей в промышленности (с 1994 по 1997 г. цены увеличились в 10,1 и 9,6 раза соответственно). </w:t>
      </w:r>
    </w:p>
    <w:p w:rsidR="0095321F" w:rsidRPr="00AB00B2" w:rsidRDefault="0095321F" w:rsidP="0095321F">
      <w:pPr>
        <w:pStyle w:val="aa"/>
        <w:spacing w:line="240" w:lineRule="auto"/>
        <w:ind w:right="-142"/>
        <w:rPr>
          <w:rFonts w:cs="Arial"/>
          <w:sz w:val="22"/>
        </w:rPr>
      </w:pPr>
      <w:r w:rsidRPr="00AB00B2">
        <w:rPr>
          <w:rFonts w:cs="Arial"/>
          <w:sz w:val="22"/>
        </w:rPr>
        <w:t xml:space="preserve">В 1996 и 1997 годах правительством делаются серьезные попытки остановить инфляцию путем ужесточения финансово-бюджетной политики. В эти годы прирост потребительских цен на товары и услуги населению составил 28,5 и 23,1% соответственно; в значительной степени снижению инфляции способствовал сравнительно невысокий уровень роста цен в сфере производства (на 20,8 и 8,9% соответственно). </w:t>
      </w:r>
    </w:p>
    <w:p w:rsidR="0095321F" w:rsidRPr="00AB00B2" w:rsidRDefault="0095321F" w:rsidP="0095321F">
      <w:pPr>
        <w:pStyle w:val="aa"/>
        <w:spacing w:line="240" w:lineRule="auto"/>
        <w:ind w:right="-142"/>
        <w:rPr>
          <w:rFonts w:cs="Arial"/>
          <w:sz w:val="22"/>
        </w:rPr>
      </w:pPr>
      <w:r w:rsidRPr="00AB00B2">
        <w:rPr>
          <w:rFonts w:cs="Arial"/>
          <w:sz w:val="22"/>
        </w:rPr>
        <w:t>За 1998 год цены на товары и платные услуги населению увеличились в 1,6 раза. Существенный скачок цен был обусловлен эк</w:t>
      </w:r>
      <w:r w:rsidRPr="00AB00B2">
        <w:rPr>
          <w:rFonts w:cs="Arial"/>
          <w:sz w:val="22"/>
        </w:rPr>
        <w:t>о</w:t>
      </w:r>
      <w:r w:rsidRPr="00AB00B2">
        <w:rPr>
          <w:rFonts w:cs="Arial"/>
          <w:sz w:val="22"/>
        </w:rPr>
        <w:t>номическим и финансовым кризисом, разразившимся в августе 1998 года. За первые шесть месяцев цены и тарифы на товары народного потребления и платные услуги населению увеличились на 1,9%, а во II полугодии – на 60,2%; цены производителей в промышленности выросли по сравнению с декабрем 1997 года на 18,1%.</w:t>
      </w:r>
    </w:p>
    <w:p w:rsidR="0095321F" w:rsidRPr="000750A9" w:rsidRDefault="0095321F" w:rsidP="0095321F">
      <w:pPr>
        <w:pStyle w:val="33"/>
        <w:rPr>
          <w:rFonts w:ascii="Arial" w:hAnsi="Arial" w:cs="Arial"/>
          <w:sz w:val="22"/>
          <w:szCs w:val="22"/>
        </w:rPr>
      </w:pPr>
      <w:r w:rsidRPr="000750A9">
        <w:rPr>
          <w:rFonts w:ascii="Arial" w:hAnsi="Arial" w:cs="Arial"/>
          <w:sz w:val="22"/>
          <w:szCs w:val="22"/>
        </w:rPr>
        <w:t>Первые годы экономических реформ характеризовались резким повышением потребительских цен. Так цены (тарифы) на товары и услуги в Ульяновской области с января 1991 года по декабрь 2000 года выросли в 15 тыс. раз, в том числе продовольственные товары стали дороже в 18 тыс. раз (без учета деноминации в 1998 году).</w:t>
      </w:r>
    </w:p>
    <w:p w:rsidR="0095321F" w:rsidRDefault="0095321F" w:rsidP="0095321F">
      <w:pPr>
        <w:pStyle w:val="7"/>
        <w:spacing w:line="240" w:lineRule="auto"/>
        <w:rPr>
          <w:sz w:val="22"/>
          <w:szCs w:val="22"/>
        </w:rPr>
      </w:pPr>
    </w:p>
    <w:p w:rsidR="0095321F" w:rsidRPr="0095321F" w:rsidRDefault="00205E90" w:rsidP="0095321F">
      <w:pPr>
        <w:jc w:val="center"/>
        <w:rPr>
          <w:rFonts w:ascii="Arial" w:hAnsi="Arial" w:cs="Arial"/>
          <w:b/>
          <w:sz w:val="22"/>
          <w:szCs w:val="22"/>
        </w:rPr>
      </w:pPr>
      <w:r w:rsidRPr="0095321F">
        <w:rPr>
          <w:rFonts w:ascii="Arial" w:hAnsi="Arial" w:cs="Arial"/>
          <w:b/>
          <w:sz w:val="22"/>
          <w:szCs w:val="22"/>
        </w:rPr>
        <w:t>ТЕМПЫ РОСТА ПОТРЕБИТЕЛЬСКИХ ЦЕН В УЛЬЯНОВСКОЙ ОБЛАСТИ</w:t>
      </w:r>
    </w:p>
    <w:p w:rsidR="0095321F" w:rsidRPr="0095321F" w:rsidRDefault="0095321F" w:rsidP="0095321F">
      <w:pPr>
        <w:keepNext/>
        <w:spacing w:before="120" w:after="120"/>
        <w:jc w:val="center"/>
        <w:rPr>
          <w:rFonts w:ascii="Arial" w:hAnsi="Arial" w:cs="Arial"/>
          <w:sz w:val="22"/>
          <w:szCs w:val="22"/>
        </w:rPr>
      </w:pPr>
      <w:r w:rsidRPr="0095321F">
        <w:rPr>
          <w:rFonts w:ascii="Arial" w:hAnsi="Arial" w:cs="Arial"/>
          <w:sz w:val="22"/>
          <w:szCs w:val="22"/>
        </w:rPr>
        <w:t xml:space="preserve">(декабрь </w:t>
      </w:r>
      <w:proofErr w:type="gramStart"/>
      <w:r w:rsidRPr="0095321F">
        <w:rPr>
          <w:rFonts w:ascii="Arial" w:hAnsi="Arial" w:cs="Arial"/>
          <w:sz w:val="22"/>
          <w:szCs w:val="22"/>
        </w:rPr>
        <w:t>в</w:t>
      </w:r>
      <w:proofErr w:type="gramEnd"/>
      <w:r w:rsidRPr="0095321F">
        <w:rPr>
          <w:rFonts w:ascii="Arial" w:hAnsi="Arial" w:cs="Arial"/>
          <w:sz w:val="22"/>
          <w:szCs w:val="22"/>
        </w:rPr>
        <w:t xml:space="preserve"> % к декабрю предыдущего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10"/>
        <w:gridCol w:w="1450"/>
        <w:gridCol w:w="11844"/>
      </w:tblGrid>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shd w:val="clear" w:color="auto" w:fill="C6D9F1" w:themeFill="text2" w:themeFillTint="33"/>
          </w:tcPr>
          <w:p w:rsidR="0095321F" w:rsidRPr="000A38AF" w:rsidRDefault="0095321F" w:rsidP="000A38AF">
            <w:pPr>
              <w:pStyle w:val="4"/>
              <w:spacing w:before="60" w:after="60"/>
              <w:rPr>
                <w:rFonts w:cs="Arial"/>
                <w:b w:val="0"/>
                <w:szCs w:val="18"/>
              </w:rPr>
            </w:pPr>
            <w:r w:rsidRPr="000A38AF">
              <w:rPr>
                <w:rFonts w:cs="Arial"/>
                <w:b w:val="0"/>
                <w:szCs w:val="18"/>
              </w:rPr>
              <w:t>Год</w:t>
            </w:r>
          </w:p>
        </w:tc>
        <w:tc>
          <w:tcPr>
            <w:tcW w:w="500" w:type="pct"/>
            <w:tcBorders>
              <w:top w:val="double" w:sz="4" w:space="0" w:color="auto"/>
              <w:left w:val="double" w:sz="4" w:space="0" w:color="auto"/>
              <w:bottom w:val="double" w:sz="4" w:space="0" w:color="auto"/>
              <w:right w:val="double" w:sz="4" w:space="0" w:color="auto"/>
            </w:tcBorders>
            <w:shd w:val="clear" w:color="auto" w:fill="C6D9F1" w:themeFill="text2" w:themeFillTint="33"/>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Индекс п</w:t>
            </w:r>
            <w:r w:rsidRPr="000A38AF">
              <w:rPr>
                <w:rFonts w:ascii="Arial" w:hAnsi="Arial" w:cs="Arial"/>
                <w:sz w:val="18"/>
                <w:szCs w:val="18"/>
              </w:rPr>
              <w:t>о</w:t>
            </w:r>
            <w:r w:rsidRPr="000A38AF">
              <w:rPr>
                <w:rFonts w:ascii="Arial" w:hAnsi="Arial" w:cs="Arial"/>
                <w:sz w:val="18"/>
                <w:szCs w:val="18"/>
              </w:rPr>
              <w:t>требительских цен на товары и услуги</w:t>
            </w:r>
          </w:p>
        </w:tc>
        <w:tc>
          <w:tcPr>
            <w:tcW w:w="4083" w:type="pct"/>
            <w:vMerge w:val="restart"/>
            <w:tcBorders>
              <w:top w:val="double" w:sz="4" w:space="0" w:color="auto"/>
              <w:left w:val="double" w:sz="4" w:space="0" w:color="auto"/>
              <w:bottom w:val="double" w:sz="4" w:space="0" w:color="auto"/>
              <w:right w:val="double" w:sz="4" w:space="0" w:color="auto"/>
            </w:tcBorders>
          </w:tcPr>
          <w:p w:rsidR="0095321F" w:rsidRDefault="0095321F" w:rsidP="0037013F">
            <w:pPr>
              <w:ind w:right="57"/>
              <w:jc w:val="center"/>
              <w:rPr>
                <w:sz w:val="24"/>
              </w:rPr>
            </w:pPr>
            <w:r>
              <w:rPr>
                <w:noProof/>
                <w:sz w:val="28"/>
              </w:rPr>
              <w:drawing>
                <wp:inline distT="0" distB="0" distL="0" distR="0">
                  <wp:extent cx="7353300" cy="2914650"/>
                  <wp:effectExtent l="0" t="0" r="0" b="0"/>
                  <wp:docPr id="90"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1991</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271,8</w:t>
            </w:r>
          </w:p>
        </w:tc>
        <w:tc>
          <w:tcPr>
            <w:tcW w:w="4083" w:type="pct"/>
            <w:vMerge/>
            <w:tcBorders>
              <w:top w:val="double" w:sz="4" w:space="0" w:color="auto"/>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1992</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619"/>
              </w:tabs>
              <w:spacing w:before="60" w:after="60"/>
              <w:jc w:val="center"/>
              <w:rPr>
                <w:rFonts w:ascii="Arial" w:hAnsi="Arial" w:cs="Arial"/>
                <w:sz w:val="18"/>
                <w:szCs w:val="18"/>
              </w:rPr>
            </w:pPr>
            <w:r w:rsidRPr="000A38AF">
              <w:rPr>
                <w:rFonts w:ascii="Arial" w:hAnsi="Arial" w:cs="Arial"/>
                <w:sz w:val="18"/>
                <w:szCs w:val="18"/>
              </w:rPr>
              <w:t>2197,7</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1993</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858,8</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1994</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276,1</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1995</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231,7</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1996</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128,5</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1997</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123,1</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1998</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163,2</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1999</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143,4</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r w:rsidR="0095321F" w:rsidTr="0037013F">
        <w:trPr>
          <w:cantSplit/>
          <w:trHeight w:val="355"/>
          <w:jc w:val="center"/>
        </w:trPr>
        <w:tc>
          <w:tcPr>
            <w:tcW w:w="417"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spacing w:before="60" w:after="60"/>
              <w:jc w:val="center"/>
              <w:rPr>
                <w:rFonts w:ascii="Arial" w:hAnsi="Arial" w:cs="Arial"/>
                <w:sz w:val="18"/>
                <w:szCs w:val="18"/>
              </w:rPr>
            </w:pPr>
            <w:r w:rsidRPr="000A38AF">
              <w:rPr>
                <w:rFonts w:ascii="Arial" w:hAnsi="Arial" w:cs="Arial"/>
                <w:sz w:val="18"/>
                <w:szCs w:val="18"/>
              </w:rPr>
              <w:t>2000</w:t>
            </w:r>
          </w:p>
        </w:tc>
        <w:tc>
          <w:tcPr>
            <w:tcW w:w="500" w:type="pct"/>
            <w:tcBorders>
              <w:top w:val="double" w:sz="4" w:space="0" w:color="auto"/>
              <w:left w:val="double" w:sz="4" w:space="0" w:color="auto"/>
              <w:bottom w:val="double" w:sz="4" w:space="0" w:color="auto"/>
              <w:right w:val="double" w:sz="4" w:space="0" w:color="auto"/>
            </w:tcBorders>
          </w:tcPr>
          <w:p w:rsidR="0095321F" w:rsidRPr="000A38AF" w:rsidRDefault="0095321F" w:rsidP="000A38AF">
            <w:pPr>
              <w:tabs>
                <w:tab w:val="decimal" w:pos="567"/>
              </w:tabs>
              <w:spacing w:before="60" w:after="60"/>
              <w:jc w:val="center"/>
              <w:rPr>
                <w:rFonts w:ascii="Arial" w:hAnsi="Arial" w:cs="Arial"/>
                <w:sz w:val="18"/>
                <w:szCs w:val="18"/>
              </w:rPr>
            </w:pPr>
            <w:r w:rsidRPr="000A38AF">
              <w:rPr>
                <w:rFonts w:ascii="Arial" w:hAnsi="Arial" w:cs="Arial"/>
                <w:sz w:val="18"/>
                <w:szCs w:val="18"/>
              </w:rPr>
              <w:t>123,5</w:t>
            </w:r>
          </w:p>
        </w:tc>
        <w:tc>
          <w:tcPr>
            <w:tcW w:w="4083" w:type="pct"/>
            <w:vMerge/>
            <w:tcBorders>
              <w:left w:val="double" w:sz="4" w:space="0" w:color="auto"/>
              <w:bottom w:val="double" w:sz="4" w:space="0" w:color="auto"/>
              <w:right w:val="double" w:sz="4" w:space="0" w:color="auto"/>
            </w:tcBorders>
          </w:tcPr>
          <w:p w:rsidR="0095321F" w:rsidRDefault="0095321F" w:rsidP="0037013F">
            <w:pPr>
              <w:tabs>
                <w:tab w:val="decimal" w:pos="601"/>
              </w:tabs>
              <w:jc w:val="center"/>
              <w:rPr>
                <w:sz w:val="24"/>
              </w:rPr>
            </w:pPr>
          </w:p>
        </w:tc>
      </w:tr>
    </w:tbl>
    <w:p w:rsidR="0095321F" w:rsidRDefault="0095321F" w:rsidP="0095321F">
      <w:pPr>
        <w:pStyle w:val="aa"/>
        <w:spacing w:line="240" w:lineRule="auto"/>
        <w:ind w:right="-142"/>
        <w:rPr>
          <w:rFonts w:cs="Arial"/>
          <w:sz w:val="22"/>
        </w:rPr>
      </w:pPr>
    </w:p>
    <w:p w:rsidR="0095321F" w:rsidRPr="00AB00B2" w:rsidRDefault="0095321F" w:rsidP="0095321F">
      <w:pPr>
        <w:pStyle w:val="aa"/>
        <w:spacing w:line="240" w:lineRule="auto"/>
        <w:ind w:right="-142"/>
        <w:rPr>
          <w:rFonts w:cs="Arial"/>
          <w:sz w:val="22"/>
        </w:rPr>
      </w:pPr>
      <w:r w:rsidRPr="00AB00B2">
        <w:rPr>
          <w:rFonts w:cs="Arial"/>
          <w:sz w:val="22"/>
        </w:rPr>
        <w:t>Уровень инфляции в потребительском секторе в 1999 году продолжал оставаться сравнительно высоким (143,4%). В отраслях м</w:t>
      </w:r>
      <w:r w:rsidRPr="00AB00B2">
        <w:rPr>
          <w:rFonts w:cs="Arial"/>
          <w:sz w:val="22"/>
        </w:rPr>
        <w:t>а</w:t>
      </w:r>
      <w:r w:rsidRPr="00AB00B2">
        <w:rPr>
          <w:rFonts w:cs="Arial"/>
          <w:sz w:val="22"/>
        </w:rPr>
        <w:t>териального производства темпы роста цен в начале года были ниже (за исключением роста цен на реализованную сельскохозяйственную продукцию), но к концу года превысили темпы роста цен на потребительские товары и услуги. Так, индекс цен производителей на пр</w:t>
      </w:r>
      <w:r w:rsidRPr="00AB00B2">
        <w:rPr>
          <w:rFonts w:cs="Arial"/>
          <w:sz w:val="22"/>
        </w:rPr>
        <w:t>о</w:t>
      </w:r>
      <w:r w:rsidRPr="00AB00B2">
        <w:rPr>
          <w:rFonts w:cs="Arial"/>
          <w:sz w:val="22"/>
        </w:rPr>
        <w:t>мышленную продукцию составил 150,5%, а на продукцию, реализованную сельскохозяйственными предприятиями – 184,6%.</w:t>
      </w:r>
    </w:p>
    <w:p w:rsidR="0095321F" w:rsidRPr="00AB00B2" w:rsidRDefault="0095321F" w:rsidP="0095321F">
      <w:pPr>
        <w:pStyle w:val="aa"/>
        <w:spacing w:line="240" w:lineRule="auto"/>
        <w:ind w:right="-142"/>
        <w:rPr>
          <w:rFonts w:cs="Arial"/>
          <w:sz w:val="22"/>
        </w:rPr>
      </w:pPr>
      <w:r w:rsidRPr="00AB00B2">
        <w:rPr>
          <w:rFonts w:cs="Arial"/>
          <w:sz w:val="22"/>
        </w:rPr>
        <w:t>В 2000 году инфляция стала снижаться - индекс потребительских цен составил 123,5%, на товары рост цен составил 21,6%, а усл</w:t>
      </w:r>
      <w:r w:rsidRPr="00AB00B2">
        <w:rPr>
          <w:rFonts w:cs="Arial"/>
          <w:sz w:val="22"/>
        </w:rPr>
        <w:t>у</w:t>
      </w:r>
      <w:r w:rsidRPr="00AB00B2">
        <w:rPr>
          <w:rFonts w:cs="Arial"/>
          <w:sz w:val="22"/>
        </w:rPr>
        <w:t>ги выросли на 37,5%. Темпы роста цен на промышленную продукцию (12</w:t>
      </w:r>
      <w:r>
        <w:rPr>
          <w:rFonts w:cs="Arial"/>
          <w:sz w:val="22"/>
        </w:rPr>
        <w:t>1</w:t>
      </w:r>
      <w:r w:rsidRPr="00AB00B2">
        <w:rPr>
          <w:rFonts w:cs="Arial"/>
          <w:sz w:val="22"/>
        </w:rPr>
        <w:t>,5%), на сельскохозяйственную продукцию (133,0%) и стро</w:t>
      </w:r>
      <w:r w:rsidRPr="00AB00B2">
        <w:rPr>
          <w:rFonts w:cs="Arial"/>
          <w:sz w:val="22"/>
        </w:rPr>
        <w:t>и</w:t>
      </w:r>
      <w:r w:rsidRPr="00AB00B2">
        <w:rPr>
          <w:rFonts w:cs="Arial"/>
          <w:sz w:val="22"/>
        </w:rPr>
        <w:t xml:space="preserve">тельную продукцию (138,2%) сложились </w:t>
      </w:r>
      <w:proofErr w:type="gramStart"/>
      <w:r w:rsidRPr="00AB00B2">
        <w:rPr>
          <w:rFonts w:cs="Arial"/>
          <w:sz w:val="22"/>
        </w:rPr>
        <w:t>выше</w:t>
      </w:r>
      <w:proofErr w:type="gramEnd"/>
      <w:r w:rsidRPr="00AB00B2">
        <w:rPr>
          <w:rFonts w:cs="Arial"/>
          <w:sz w:val="22"/>
        </w:rPr>
        <w:t xml:space="preserve"> чем на потребительские товары и услуги</w:t>
      </w:r>
    </w:p>
    <w:p w:rsidR="007944A3" w:rsidRPr="007944A3" w:rsidRDefault="007944A3" w:rsidP="007944A3">
      <w:pPr>
        <w:pStyle w:val="33"/>
        <w:rPr>
          <w:rFonts w:ascii="Arial" w:hAnsi="Arial" w:cs="Arial"/>
          <w:sz w:val="22"/>
          <w:szCs w:val="22"/>
        </w:rPr>
      </w:pPr>
      <w:r w:rsidRPr="007944A3">
        <w:rPr>
          <w:rFonts w:ascii="Arial" w:hAnsi="Arial" w:cs="Arial"/>
          <w:sz w:val="22"/>
          <w:szCs w:val="22"/>
        </w:rPr>
        <w:t xml:space="preserve">В декабре 2011 года к декабрю 2000 года </w:t>
      </w:r>
      <w:r w:rsidRPr="007944A3">
        <w:rPr>
          <w:rFonts w:ascii="Arial" w:hAnsi="Arial" w:cs="Arial"/>
          <w:sz w:val="22"/>
        </w:rPr>
        <w:t>потребительские цены на товары и услуги выросли в 3,9 раза, в том числе на прод</w:t>
      </w:r>
      <w:r w:rsidRPr="007944A3">
        <w:rPr>
          <w:rFonts w:ascii="Arial" w:hAnsi="Arial" w:cs="Arial"/>
          <w:sz w:val="22"/>
        </w:rPr>
        <w:t>о</w:t>
      </w:r>
      <w:r w:rsidRPr="007944A3">
        <w:rPr>
          <w:rFonts w:ascii="Arial" w:hAnsi="Arial" w:cs="Arial"/>
          <w:sz w:val="22"/>
        </w:rPr>
        <w:t>вольственные товары – в 3,6 раза, непродовольственные товары – в 2,8 раза, а рост тарифов на платные услуги был более значител</w:t>
      </w:r>
      <w:r w:rsidRPr="007944A3">
        <w:rPr>
          <w:rFonts w:ascii="Arial" w:hAnsi="Arial" w:cs="Arial"/>
          <w:sz w:val="22"/>
        </w:rPr>
        <w:t>ь</w:t>
      </w:r>
      <w:r w:rsidRPr="007944A3">
        <w:rPr>
          <w:rFonts w:ascii="Arial" w:hAnsi="Arial" w:cs="Arial"/>
          <w:sz w:val="22"/>
        </w:rPr>
        <w:t>ным – в 9,0 раза</w:t>
      </w:r>
      <w:r w:rsidRPr="007944A3">
        <w:rPr>
          <w:rFonts w:cs="Arial"/>
          <w:sz w:val="22"/>
        </w:rPr>
        <w:t xml:space="preserve">. </w:t>
      </w:r>
      <w:r w:rsidRPr="007944A3">
        <w:rPr>
          <w:rFonts w:ascii="Arial" w:hAnsi="Arial" w:cs="Arial"/>
          <w:sz w:val="22"/>
          <w:szCs w:val="22"/>
        </w:rPr>
        <w:t>На рынке жилья недвижимости за этот же период стоимость одного квадратного метра жилья на первичном рынке в</w:t>
      </w:r>
      <w:r w:rsidRPr="007944A3">
        <w:rPr>
          <w:rFonts w:ascii="Arial" w:hAnsi="Arial" w:cs="Arial"/>
          <w:sz w:val="22"/>
          <w:szCs w:val="22"/>
        </w:rPr>
        <w:t>ы</w:t>
      </w:r>
      <w:r w:rsidRPr="007944A3">
        <w:rPr>
          <w:rFonts w:ascii="Arial" w:hAnsi="Arial" w:cs="Arial"/>
          <w:sz w:val="22"/>
          <w:szCs w:val="22"/>
        </w:rPr>
        <w:t xml:space="preserve">росла в среднем в 6,1 раза и на вторичном – в 8,0 раза. </w:t>
      </w:r>
    </w:p>
    <w:p w:rsidR="007944A3" w:rsidRPr="007944A3" w:rsidRDefault="007944A3" w:rsidP="007944A3">
      <w:pPr>
        <w:pStyle w:val="33"/>
        <w:rPr>
          <w:rFonts w:ascii="Arial" w:hAnsi="Arial" w:cs="Arial"/>
          <w:sz w:val="22"/>
          <w:szCs w:val="22"/>
        </w:rPr>
      </w:pPr>
      <w:r w:rsidRPr="007944A3">
        <w:rPr>
          <w:rFonts w:ascii="Arial" w:hAnsi="Arial" w:cs="Arial"/>
          <w:sz w:val="22"/>
          <w:szCs w:val="22"/>
        </w:rPr>
        <w:t>За десять лет с 2001 по 2010 год</w:t>
      </w:r>
      <w:r w:rsidR="001C1893">
        <w:rPr>
          <w:rFonts w:ascii="Arial" w:hAnsi="Arial" w:cs="Arial"/>
          <w:sz w:val="22"/>
          <w:szCs w:val="22"/>
        </w:rPr>
        <w:t xml:space="preserve"> </w:t>
      </w:r>
      <w:r w:rsidRPr="007944A3">
        <w:rPr>
          <w:rFonts w:ascii="Arial" w:hAnsi="Arial" w:cs="Arial"/>
          <w:sz w:val="22"/>
          <w:szCs w:val="22"/>
        </w:rPr>
        <w:t>цены производителей промышленных товаров выросли в 3,5 раза, что ниже темпа роста цен на потребительском рынке и роста цен на продукцию, реализованную сельхозпроизводителями, который за этот же период составил 3,7 раза. Сводный индекс цен строительной продукции за десять лет вырос в 2,9 раза, при этом рост тарифов на грузовые перевозки авт</w:t>
      </w:r>
      <w:r w:rsidRPr="007944A3">
        <w:rPr>
          <w:rFonts w:ascii="Arial" w:hAnsi="Arial" w:cs="Arial"/>
          <w:sz w:val="22"/>
          <w:szCs w:val="22"/>
        </w:rPr>
        <w:t>о</w:t>
      </w:r>
      <w:r w:rsidRPr="007944A3">
        <w:rPr>
          <w:rFonts w:ascii="Arial" w:hAnsi="Arial" w:cs="Arial"/>
          <w:sz w:val="22"/>
          <w:szCs w:val="22"/>
        </w:rPr>
        <w:t xml:space="preserve">мобильным транспортом составил в 1,9 раза, а рост тарифов услуг связи для юридических лиц – в 1,3 раза. </w:t>
      </w:r>
    </w:p>
    <w:p w:rsidR="0095321F" w:rsidRPr="00F10D48" w:rsidRDefault="0095321F" w:rsidP="0095321F">
      <w:pPr>
        <w:pStyle w:val="a9"/>
        <w:spacing w:line="240" w:lineRule="auto"/>
        <w:ind w:firstLine="709"/>
        <w:jc w:val="both"/>
        <w:rPr>
          <w:rFonts w:cs="Arial"/>
          <w:bCs/>
          <w:sz w:val="22"/>
        </w:rPr>
      </w:pPr>
    </w:p>
    <w:tbl>
      <w:tblPr>
        <w:tblW w:w="0" w:type="auto"/>
        <w:tblLook w:val="00A0" w:firstRow="1" w:lastRow="0" w:firstColumn="1" w:lastColumn="0" w:noHBand="0" w:noVBand="0"/>
      </w:tblPr>
      <w:tblGrid>
        <w:gridCol w:w="7338"/>
        <w:gridCol w:w="7166"/>
      </w:tblGrid>
      <w:tr w:rsidR="0095321F" w:rsidRPr="00AB00B2" w:rsidTr="00535A4A">
        <w:tc>
          <w:tcPr>
            <w:tcW w:w="7338" w:type="dxa"/>
            <w:tcBorders>
              <w:bottom w:val="double" w:sz="4" w:space="0" w:color="auto"/>
            </w:tcBorders>
          </w:tcPr>
          <w:p w:rsidR="0095321F" w:rsidRPr="00552C45" w:rsidRDefault="00682E8F" w:rsidP="0037013F">
            <w:pPr>
              <w:pStyle w:val="aa"/>
              <w:spacing w:before="120" w:after="120" w:line="240" w:lineRule="auto"/>
              <w:ind w:firstLine="0"/>
              <w:jc w:val="center"/>
              <w:rPr>
                <w:rFonts w:cs="Arial"/>
                <w:sz w:val="24"/>
                <w:szCs w:val="24"/>
              </w:rPr>
            </w:pPr>
            <w:r w:rsidRPr="00552C45">
              <w:rPr>
                <w:rFonts w:cs="Arial"/>
                <w:b/>
                <w:sz w:val="24"/>
                <w:szCs w:val="24"/>
              </w:rPr>
              <w:lastRenderedPageBreak/>
              <w:t xml:space="preserve">ИНДЕКСЫ ПОТРЕБИТЕЛЬСКИХ ЦЕН (ТАРИФОВ) </w:t>
            </w:r>
            <w:r w:rsidRPr="00552C45">
              <w:rPr>
                <w:rFonts w:cs="Arial"/>
                <w:b/>
                <w:sz w:val="24"/>
                <w:szCs w:val="24"/>
              </w:rPr>
              <w:br/>
              <w:t xml:space="preserve">НА ТОВАРЫ И УСЛУГИ </w:t>
            </w:r>
            <w:r w:rsidRPr="00552C45">
              <w:rPr>
                <w:rFonts w:cs="Arial"/>
                <w:b/>
                <w:sz w:val="24"/>
                <w:szCs w:val="24"/>
              </w:rPr>
              <w:br/>
            </w:r>
            <w:r w:rsidR="0095321F" w:rsidRPr="0037013F">
              <w:rPr>
                <w:rFonts w:cs="Arial"/>
                <w:sz w:val="22"/>
                <w:szCs w:val="22"/>
              </w:rPr>
              <w:t>(</w:t>
            </w:r>
            <w:proofErr w:type="gramStart"/>
            <w:r w:rsidR="0095321F" w:rsidRPr="0037013F">
              <w:rPr>
                <w:rFonts w:cs="Arial"/>
                <w:sz w:val="22"/>
                <w:szCs w:val="22"/>
              </w:rPr>
              <w:t>в</w:t>
            </w:r>
            <w:proofErr w:type="gramEnd"/>
            <w:r w:rsidR="0095321F" w:rsidRPr="0037013F">
              <w:rPr>
                <w:rFonts w:cs="Arial"/>
                <w:sz w:val="22"/>
                <w:szCs w:val="22"/>
              </w:rPr>
              <w:t xml:space="preserve"> % к декабрю 2000 года)</w:t>
            </w:r>
          </w:p>
        </w:tc>
        <w:tc>
          <w:tcPr>
            <w:tcW w:w="7166" w:type="dxa"/>
            <w:tcBorders>
              <w:bottom w:val="double" w:sz="4" w:space="0" w:color="auto"/>
            </w:tcBorders>
          </w:tcPr>
          <w:p w:rsidR="0095321F" w:rsidRPr="00552C45" w:rsidRDefault="00682E8F" w:rsidP="0037013F">
            <w:pPr>
              <w:pStyle w:val="aa"/>
              <w:spacing w:before="120" w:after="120" w:line="240" w:lineRule="auto"/>
              <w:jc w:val="center"/>
              <w:rPr>
                <w:rFonts w:cs="Arial"/>
                <w:b/>
                <w:sz w:val="24"/>
                <w:szCs w:val="24"/>
              </w:rPr>
            </w:pPr>
            <w:r w:rsidRPr="00552C45">
              <w:rPr>
                <w:rFonts w:cs="Arial"/>
                <w:b/>
                <w:sz w:val="24"/>
                <w:szCs w:val="24"/>
              </w:rPr>
              <w:t>ИНДЕКСЫ ЦЕН ПО СЕКТОРАМ ЭКОНОМИКИ</w:t>
            </w:r>
          </w:p>
          <w:p w:rsidR="0095321F" w:rsidRPr="0037013F" w:rsidRDefault="0095321F" w:rsidP="0037013F">
            <w:pPr>
              <w:pStyle w:val="aa"/>
              <w:spacing w:before="120" w:after="120" w:line="240" w:lineRule="auto"/>
              <w:jc w:val="center"/>
              <w:rPr>
                <w:rFonts w:cs="Arial"/>
                <w:sz w:val="22"/>
                <w:szCs w:val="22"/>
              </w:rPr>
            </w:pPr>
            <w:r w:rsidRPr="0037013F">
              <w:rPr>
                <w:rFonts w:cs="Arial"/>
                <w:sz w:val="22"/>
                <w:szCs w:val="22"/>
              </w:rPr>
              <w:t>(</w:t>
            </w:r>
            <w:proofErr w:type="gramStart"/>
            <w:r w:rsidRPr="0037013F">
              <w:rPr>
                <w:rFonts w:cs="Arial"/>
                <w:sz w:val="22"/>
                <w:szCs w:val="22"/>
              </w:rPr>
              <w:t>в</w:t>
            </w:r>
            <w:proofErr w:type="gramEnd"/>
            <w:r w:rsidRPr="0037013F">
              <w:rPr>
                <w:rFonts w:cs="Arial"/>
                <w:sz w:val="22"/>
                <w:szCs w:val="22"/>
              </w:rPr>
              <w:t xml:space="preserve"> % к декабрю 2000 года)</w:t>
            </w:r>
          </w:p>
        </w:tc>
      </w:tr>
      <w:tr w:rsidR="0095321F" w:rsidRPr="00AB00B2" w:rsidTr="00535A4A">
        <w:tc>
          <w:tcPr>
            <w:tcW w:w="7338" w:type="dxa"/>
            <w:tcBorders>
              <w:top w:val="double" w:sz="4" w:space="0" w:color="auto"/>
              <w:left w:val="double" w:sz="4" w:space="0" w:color="auto"/>
              <w:bottom w:val="double" w:sz="4" w:space="0" w:color="auto"/>
            </w:tcBorders>
          </w:tcPr>
          <w:p w:rsidR="0095321F" w:rsidRDefault="0095321F" w:rsidP="0037013F">
            <w:pPr>
              <w:pStyle w:val="aa"/>
              <w:spacing w:line="240" w:lineRule="auto"/>
              <w:ind w:right="-142" w:firstLine="0"/>
              <w:jc w:val="center"/>
              <w:rPr>
                <w:rFonts w:cs="Arial"/>
                <w:b/>
                <w:sz w:val="22"/>
              </w:rPr>
            </w:pPr>
            <w:r>
              <w:rPr>
                <w:rFonts w:cs="Arial"/>
                <w:b/>
                <w:noProof/>
                <w:sz w:val="22"/>
              </w:rPr>
              <w:drawing>
                <wp:anchor distT="0" distB="0" distL="114300" distR="114300" simplePos="0" relativeHeight="251789312" behindDoc="0" locked="0" layoutInCell="1" allowOverlap="1">
                  <wp:simplePos x="0" y="0"/>
                  <wp:positionH relativeFrom="column">
                    <wp:posOffset>46138</wp:posOffset>
                  </wp:positionH>
                  <wp:positionV relativeFrom="paragraph">
                    <wp:posOffset>21389</wp:posOffset>
                  </wp:positionV>
                  <wp:extent cx="4516244" cy="3378819"/>
                  <wp:effectExtent l="0" t="0" r="0" b="0"/>
                  <wp:wrapNone/>
                  <wp:docPr id="91"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Default="0095321F" w:rsidP="0037013F">
            <w:pPr>
              <w:pStyle w:val="aa"/>
              <w:spacing w:line="240" w:lineRule="auto"/>
              <w:ind w:right="-142" w:firstLine="0"/>
              <w:jc w:val="center"/>
              <w:rPr>
                <w:rFonts w:cs="Arial"/>
                <w:b/>
                <w:sz w:val="22"/>
              </w:rPr>
            </w:pPr>
          </w:p>
          <w:p w:rsidR="0095321F" w:rsidRPr="00AB00B2" w:rsidRDefault="0095321F" w:rsidP="0037013F">
            <w:pPr>
              <w:pStyle w:val="aa"/>
              <w:spacing w:line="240" w:lineRule="auto"/>
              <w:ind w:right="-142" w:firstLine="0"/>
              <w:jc w:val="center"/>
              <w:rPr>
                <w:rFonts w:cs="Arial"/>
                <w:b/>
                <w:sz w:val="22"/>
              </w:rPr>
            </w:pPr>
          </w:p>
        </w:tc>
        <w:tc>
          <w:tcPr>
            <w:tcW w:w="7166" w:type="dxa"/>
            <w:tcBorders>
              <w:top w:val="double" w:sz="4" w:space="0" w:color="auto"/>
              <w:bottom w:val="double" w:sz="4" w:space="0" w:color="auto"/>
              <w:right w:val="double" w:sz="4" w:space="0" w:color="auto"/>
            </w:tcBorders>
          </w:tcPr>
          <w:p w:rsidR="0095321F" w:rsidRPr="00AB00B2" w:rsidRDefault="0095321F" w:rsidP="0037013F">
            <w:pPr>
              <w:pStyle w:val="aa"/>
              <w:spacing w:line="240" w:lineRule="auto"/>
              <w:ind w:right="-142"/>
              <w:jc w:val="center"/>
              <w:rPr>
                <w:rFonts w:cs="Arial"/>
                <w:b/>
                <w:sz w:val="22"/>
              </w:rPr>
            </w:pPr>
            <w:r>
              <w:rPr>
                <w:rFonts w:cs="Arial"/>
                <w:b/>
                <w:noProof/>
                <w:sz w:val="22"/>
              </w:rPr>
              <w:drawing>
                <wp:anchor distT="0" distB="0" distL="114300" distR="114300" simplePos="0" relativeHeight="251790336" behindDoc="0" locked="0" layoutInCell="1" allowOverlap="1">
                  <wp:simplePos x="0" y="0"/>
                  <wp:positionH relativeFrom="column">
                    <wp:posOffset>77297</wp:posOffset>
                  </wp:positionH>
                  <wp:positionV relativeFrom="paragraph">
                    <wp:posOffset>83787</wp:posOffset>
                  </wp:positionV>
                  <wp:extent cx="4393870" cy="3360717"/>
                  <wp:effectExtent l="0" t="0" r="6680" b="0"/>
                  <wp:wrapNone/>
                  <wp:docPr id="92"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tc>
      </w:tr>
    </w:tbl>
    <w:p w:rsidR="0095321F" w:rsidRDefault="0095321F" w:rsidP="0095321F">
      <w:pPr>
        <w:pStyle w:val="aa"/>
        <w:spacing w:line="240" w:lineRule="auto"/>
        <w:ind w:right="-142"/>
        <w:rPr>
          <w:rFonts w:cs="Arial"/>
          <w:sz w:val="22"/>
        </w:rPr>
      </w:pPr>
    </w:p>
    <w:p w:rsidR="0095321F" w:rsidRPr="00BB504A" w:rsidRDefault="0095321F" w:rsidP="0095321F">
      <w:pPr>
        <w:pStyle w:val="aa"/>
        <w:spacing w:line="240" w:lineRule="auto"/>
        <w:ind w:right="-142"/>
        <w:rPr>
          <w:rFonts w:cs="Arial"/>
          <w:sz w:val="22"/>
        </w:rPr>
      </w:pPr>
      <w:r>
        <w:rPr>
          <w:rFonts w:cs="Arial"/>
          <w:sz w:val="22"/>
        </w:rPr>
        <w:t>В декабре 2011 года к декабрю 2010 года наибольший рост цен (тарифов) наблюдался у производителей промышленной продукции и на грузовые перевозки автомобильным транспортом в 1,1 раза</w:t>
      </w:r>
      <w:r w:rsidRPr="0069269B">
        <w:rPr>
          <w:rFonts w:cs="Arial"/>
          <w:sz w:val="22"/>
        </w:rPr>
        <w:t xml:space="preserve">. </w:t>
      </w:r>
      <w:r>
        <w:rPr>
          <w:rFonts w:cs="Arial"/>
          <w:sz w:val="22"/>
        </w:rPr>
        <w:t>Минимальный рост цен (тарифов) наблюдался на услуги связи на 3,2%</w:t>
      </w:r>
      <w:r w:rsidRPr="002B43EC">
        <w:rPr>
          <w:rFonts w:cs="Arial"/>
          <w:sz w:val="22"/>
        </w:rPr>
        <w:t xml:space="preserve">. </w:t>
      </w:r>
      <w:r>
        <w:rPr>
          <w:rFonts w:cs="Arial"/>
          <w:sz w:val="22"/>
        </w:rPr>
        <w:t>Цены снизились менее на 0,1% у производителей сельскохозяйственной продукции</w:t>
      </w:r>
      <w:r w:rsidRPr="002B43EC">
        <w:rPr>
          <w:rFonts w:cs="Arial"/>
          <w:sz w:val="22"/>
        </w:rPr>
        <w:t xml:space="preserve">. </w:t>
      </w:r>
      <w:r>
        <w:rPr>
          <w:rFonts w:cs="Arial"/>
          <w:sz w:val="22"/>
        </w:rPr>
        <w:t>Снижение темпов инфляции в 2011 году по сравн</w:t>
      </w:r>
      <w:r>
        <w:rPr>
          <w:rFonts w:cs="Arial"/>
          <w:sz w:val="22"/>
        </w:rPr>
        <w:t>е</w:t>
      </w:r>
      <w:r>
        <w:rPr>
          <w:rFonts w:cs="Arial"/>
          <w:sz w:val="22"/>
        </w:rPr>
        <w:t>нию с предыдущим периодом наблюдалось на строительную продукцию (на 1,3 п</w:t>
      </w:r>
      <w:r w:rsidRPr="002B43EC">
        <w:rPr>
          <w:rFonts w:cs="Arial"/>
          <w:sz w:val="22"/>
        </w:rPr>
        <w:t>.</w:t>
      </w:r>
      <w:r>
        <w:rPr>
          <w:rFonts w:cs="Arial"/>
          <w:sz w:val="22"/>
        </w:rPr>
        <w:t>п</w:t>
      </w:r>
      <w:r w:rsidRPr="002B43EC">
        <w:rPr>
          <w:rFonts w:cs="Arial"/>
          <w:sz w:val="22"/>
        </w:rPr>
        <w:t xml:space="preserve">.) </w:t>
      </w:r>
      <w:r>
        <w:rPr>
          <w:rFonts w:cs="Arial"/>
          <w:sz w:val="22"/>
        </w:rPr>
        <w:t>и в потребительском секторе (на 3,9 п</w:t>
      </w:r>
      <w:r w:rsidRPr="002B43EC">
        <w:rPr>
          <w:rFonts w:cs="Arial"/>
          <w:sz w:val="22"/>
        </w:rPr>
        <w:t>.</w:t>
      </w:r>
      <w:r>
        <w:rPr>
          <w:rFonts w:cs="Arial"/>
          <w:sz w:val="22"/>
        </w:rPr>
        <w:t>п</w:t>
      </w:r>
      <w:r w:rsidRPr="002B43EC">
        <w:rPr>
          <w:rFonts w:cs="Arial"/>
          <w:sz w:val="22"/>
        </w:rPr>
        <w:t>.</w:t>
      </w:r>
      <w:r>
        <w:rPr>
          <w:rFonts w:cs="Arial"/>
          <w:sz w:val="22"/>
        </w:rPr>
        <w:t>)</w:t>
      </w:r>
      <w:r w:rsidRPr="00BB504A">
        <w:rPr>
          <w:rFonts w:cs="Arial"/>
          <w:sz w:val="22"/>
        </w:rPr>
        <w:t>.</w:t>
      </w:r>
    </w:p>
    <w:p w:rsidR="0095321F" w:rsidRPr="00552C45" w:rsidRDefault="00682E8F" w:rsidP="0095321F">
      <w:pPr>
        <w:pageBreakBefore/>
        <w:jc w:val="center"/>
        <w:rPr>
          <w:rFonts w:ascii="Arial" w:hAnsi="Arial" w:cs="Arial"/>
          <w:b/>
          <w:bCs/>
          <w:sz w:val="24"/>
          <w:szCs w:val="24"/>
        </w:rPr>
      </w:pPr>
      <w:bookmarkStart w:id="33" w:name="_Toc171411477"/>
      <w:bookmarkStart w:id="34" w:name="_Toc268601341"/>
      <w:bookmarkStart w:id="35" w:name="_Toc335307991"/>
      <w:r w:rsidRPr="00552C45">
        <w:rPr>
          <w:rFonts w:ascii="Arial" w:hAnsi="Arial" w:cs="Arial"/>
          <w:b/>
          <w:bCs/>
          <w:sz w:val="24"/>
          <w:szCs w:val="24"/>
        </w:rPr>
        <w:lastRenderedPageBreak/>
        <w:t>ИНДЕКСЫ ЦЕН ПО СЕКТОРАМ ЭКОНОМИКИ</w:t>
      </w:r>
    </w:p>
    <w:p w:rsidR="0095321F" w:rsidRPr="0037013F" w:rsidRDefault="0095321F" w:rsidP="0095321F">
      <w:pPr>
        <w:spacing w:before="120" w:after="120"/>
        <w:jc w:val="center"/>
        <w:rPr>
          <w:rFonts w:ascii="Arial" w:hAnsi="Arial" w:cs="Arial"/>
          <w:bCs/>
          <w:sz w:val="22"/>
          <w:szCs w:val="22"/>
        </w:rPr>
      </w:pPr>
      <w:r w:rsidRPr="0037013F">
        <w:rPr>
          <w:rFonts w:ascii="Arial" w:hAnsi="Arial" w:cs="Arial"/>
          <w:bCs/>
          <w:sz w:val="22"/>
          <w:szCs w:val="22"/>
        </w:rPr>
        <w:t xml:space="preserve">(декабрь к декабрю предыдущего года, </w:t>
      </w:r>
      <w:proofErr w:type="gramStart"/>
      <w:r w:rsidRPr="0037013F">
        <w:rPr>
          <w:rFonts w:ascii="Arial" w:hAnsi="Arial" w:cs="Arial"/>
          <w:bCs/>
          <w:sz w:val="22"/>
          <w:szCs w:val="22"/>
        </w:rPr>
        <w:t>в</w:t>
      </w:r>
      <w:proofErr w:type="gramEnd"/>
      <w:r w:rsidRPr="0037013F">
        <w:rPr>
          <w:rFonts w:ascii="Arial" w:hAnsi="Arial" w:cs="Arial"/>
          <w:bCs/>
          <w:sz w:val="22"/>
          <w:szCs w:val="22"/>
        </w:rPr>
        <w:t xml:space="preserve"> %)</w:t>
      </w:r>
    </w:p>
    <w:p w:rsidR="0095321F" w:rsidRDefault="0095321F" w:rsidP="0095321F">
      <w:pPr>
        <w:pStyle w:val="8"/>
        <w:rPr>
          <w:sz w:val="22"/>
        </w:rPr>
      </w:pPr>
      <w:r w:rsidRPr="00217011">
        <w:rPr>
          <w:noProof/>
          <w:color w:val="000000"/>
          <w:sz w:val="20"/>
          <w:bdr w:val="double" w:sz="4" w:space="0" w:color="auto"/>
        </w:rPr>
        <w:drawing>
          <wp:inline distT="0" distB="0" distL="0" distR="0">
            <wp:extent cx="8734425" cy="4448175"/>
            <wp:effectExtent l="19050" t="0" r="0" b="0"/>
            <wp:docPr id="93"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5321F" w:rsidRDefault="0095321F" w:rsidP="0095321F"/>
    <w:p w:rsidR="0095321F" w:rsidRPr="000323EF" w:rsidRDefault="0095321F" w:rsidP="0095321F"/>
    <w:tbl>
      <w:tblPr>
        <w:tblW w:w="4764" w:type="pct"/>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1" w:type="dxa"/>
          <w:right w:w="71" w:type="dxa"/>
        </w:tblCellMar>
        <w:tblLook w:val="0000" w:firstRow="0" w:lastRow="0" w:firstColumn="0" w:lastColumn="0" w:noHBand="0" w:noVBand="0"/>
      </w:tblPr>
      <w:tblGrid>
        <w:gridCol w:w="429"/>
        <w:gridCol w:w="6094"/>
        <w:gridCol w:w="426"/>
        <w:gridCol w:w="6800"/>
      </w:tblGrid>
      <w:tr w:rsidR="0095321F" w:rsidRPr="00671A93" w:rsidTr="0037013F">
        <w:tc>
          <w:tcPr>
            <w:tcW w:w="156" w:type="pct"/>
          </w:tcPr>
          <w:p w:rsidR="0095321F" w:rsidRPr="00671A93" w:rsidRDefault="0095321F" w:rsidP="0037013F">
            <w:pPr>
              <w:spacing w:before="120"/>
              <w:rPr>
                <w:rFonts w:ascii="Arial" w:hAnsi="Arial" w:cs="Arial"/>
                <w:b/>
                <w:color w:val="000000"/>
              </w:rPr>
            </w:pPr>
            <w:r w:rsidRPr="00671A93">
              <w:rPr>
                <w:rFonts w:ascii="Arial" w:hAnsi="Arial" w:cs="Arial"/>
                <w:b/>
                <w:color w:val="000000"/>
              </w:rPr>
              <w:t>1</w:t>
            </w:r>
          </w:p>
        </w:tc>
        <w:tc>
          <w:tcPr>
            <w:tcW w:w="2216" w:type="pct"/>
          </w:tcPr>
          <w:p w:rsidR="0095321F" w:rsidRPr="00671A93" w:rsidRDefault="0095321F" w:rsidP="0037013F">
            <w:pPr>
              <w:spacing w:before="120"/>
              <w:rPr>
                <w:rFonts w:ascii="Arial" w:hAnsi="Arial" w:cs="Arial"/>
                <w:color w:val="000000"/>
              </w:rPr>
            </w:pPr>
            <w:r w:rsidRPr="00671A93">
              <w:rPr>
                <w:rFonts w:ascii="Arial" w:hAnsi="Arial" w:cs="Arial"/>
                <w:color w:val="000000"/>
              </w:rPr>
              <w:t xml:space="preserve">Индекс потребительских цен на товары и услуги </w:t>
            </w:r>
          </w:p>
        </w:tc>
        <w:tc>
          <w:tcPr>
            <w:tcW w:w="155" w:type="pct"/>
          </w:tcPr>
          <w:p w:rsidR="0095321F" w:rsidRPr="00671A93" w:rsidRDefault="0095321F" w:rsidP="0037013F">
            <w:pPr>
              <w:spacing w:before="120"/>
              <w:rPr>
                <w:rFonts w:ascii="Arial" w:hAnsi="Arial" w:cs="Arial"/>
                <w:b/>
                <w:color w:val="000000"/>
              </w:rPr>
            </w:pPr>
            <w:r w:rsidRPr="00671A93">
              <w:rPr>
                <w:rFonts w:ascii="Arial" w:hAnsi="Arial" w:cs="Arial"/>
                <w:b/>
                <w:color w:val="000000"/>
              </w:rPr>
              <w:t>4</w:t>
            </w:r>
          </w:p>
        </w:tc>
        <w:tc>
          <w:tcPr>
            <w:tcW w:w="2473" w:type="pct"/>
          </w:tcPr>
          <w:p w:rsidR="0095321F" w:rsidRPr="00671A93" w:rsidRDefault="0095321F" w:rsidP="0037013F">
            <w:pPr>
              <w:spacing w:before="120"/>
              <w:rPr>
                <w:rFonts w:ascii="Arial" w:hAnsi="Arial" w:cs="Arial"/>
                <w:color w:val="000000"/>
              </w:rPr>
            </w:pPr>
            <w:r w:rsidRPr="00671A93">
              <w:rPr>
                <w:rFonts w:ascii="Arial" w:hAnsi="Arial" w:cs="Arial"/>
                <w:color w:val="000000"/>
              </w:rPr>
              <w:t xml:space="preserve">Сводный индекс цен строительной продукции </w:t>
            </w:r>
          </w:p>
        </w:tc>
      </w:tr>
      <w:tr w:rsidR="0095321F" w:rsidRPr="00671A93" w:rsidTr="0037013F">
        <w:tc>
          <w:tcPr>
            <w:tcW w:w="156" w:type="pct"/>
          </w:tcPr>
          <w:p w:rsidR="0095321F" w:rsidRPr="00671A93" w:rsidRDefault="0095321F" w:rsidP="0037013F">
            <w:pPr>
              <w:spacing w:before="120"/>
              <w:rPr>
                <w:rFonts w:ascii="Arial" w:hAnsi="Arial" w:cs="Arial"/>
                <w:b/>
                <w:color w:val="000000"/>
              </w:rPr>
            </w:pPr>
            <w:r w:rsidRPr="00671A93">
              <w:rPr>
                <w:rFonts w:ascii="Arial" w:hAnsi="Arial" w:cs="Arial"/>
                <w:b/>
                <w:color w:val="000000"/>
              </w:rPr>
              <w:t>2</w:t>
            </w:r>
          </w:p>
        </w:tc>
        <w:tc>
          <w:tcPr>
            <w:tcW w:w="2216" w:type="pct"/>
          </w:tcPr>
          <w:p w:rsidR="0095321F" w:rsidRPr="00671A93" w:rsidRDefault="0095321F" w:rsidP="0037013F">
            <w:pPr>
              <w:spacing w:before="120"/>
              <w:rPr>
                <w:rFonts w:ascii="Arial" w:hAnsi="Arial" w:cs="Arial"/>
                <w:color w:val="000000"/>
              </w:rPr>
            </w:pPr>
            <w:r w:rsidRPr="00671A93">
              <w:rPr>
                <w:rFonts w:ascii="Arial" w:hAnsi="Arial" w:cs="Arial"/>
                <w:color w:val="000000"/>
              </w:rPr>
              <w:t xml:space="preserve">Индекс цен производителей промышленных товаров </w:t>
            </w:r>
          </w:p>
        </w:tc>
        <w:tc>
          <w:tcPr>
            <w:tcW w:w="155" w:type="pct"/>
          </w:tcPr>
          <w:p w:rsidR="0095321F" w:rsidRPr="00671A93" w:rsidRDefault="0095321F" w:rsidP="0037013F">
            <w:pPr>
              <w:spacing w:before="120"/>
              <w:rPr>
                <w:rFonts w:ascii="Arial" w:hAnsi="Arial" w:cs="Arial"/>
                <w:b/>
                <w:color w:val="000000"/>
              </w:rPr>
            </w:pPr>
            <w:r w:rsidRPr="00671A93">
              <w:rPr>
                <w:rFonts w:ascii="Arial" w:hAnsi="Arial" w:cs="Arial"/>
                <w:b/>
                <w:color w:val="000000"/>
              </w:rPr>
              <w:t>5</w:t>
            </w:r>
          </w:p>
        </w:tc>
        <w:tc>
          <w:tcPr>
            <w:tcW w:w="2473" w:type="pct"/>
          </w:tcPr>
          <w:p w:rsidR="0095321F" w:rsidRPr="00671A93" w:rsidRDefault="0095321F" w:rsidP="0037013F">
            <w:pPr>
              <w:spacing w:before="120"/>
              <w:rPr>
                <w:rFonts w:ascii="Arial" w:hAnsi="Arial" w:cs="Arial"/>
                <w:color w:val="000000"/>
              </w:rPr>
            </w:pPr>
            <w:r w:rsidRPr="00671A93">
              <w:rPr>
                <w:rFonts w:ascii="Arial" w:hAnsi="Arial" w:cs="Arial"/>
                <w:color w:val="000000"/>
              </w:rPr>
              <w:t xml:space="preserve">Индекс тарифов на грузовые перевозки автомобильным транспортом </w:t>
            </w:r>
          </w:p>
        </w:tc>
      </w:tr>
      <w:tr w:rsidR="0095321F" w:rsidRPr="00671A93" w:rsidTr="0037013F">
        <w:tc>
          <w:tcPr>
            <w:tcW w:w="156" w:type="pct"/>
          </w:tcPr>
          <w:p w:rsidR="0095321F" w:rsidRPr="00671A93" w:rsidRDefault="0095321F" w:rsidP="0037013F">
            <w:pPr>
              <w:spacing w:before="120"/>
              <w:rPr>
                <w:rFonts w:ascii="Arial" w:hAnsi="Arial" w:cs="Arial"/>
                <w:b/>
                <w:color w:val="000000"/>
              </w:rPr>
            </w:pPr>
            <w:r w:rsidRPr="00671A93">
              <w:rPr>
                <w:rFonts w:ascii="Arial" w:hAnsi="Arial" w:cs="Arial"/>
                <w:b/>
                <w:color w:val="000000"/>
              </w:rPr>
              <w:t>3</w:t>
            </w:r>
          </w:p>
        </w:tc>
        <w:tc>
          <w:tcPr>
            <w:tcW w:w="2216" w:type="pct"/>
          </w:tcPr>
          <w:p w:rsidR="0095321F" w:rsidRPr="00671A93" w:rsidRDefault="0095321F" w:rsidP="0037013F">
            <w:pPr>
              <w:spacing w:before="120"/>
              <w:rPr>
                <w:rFonts w:ascii="Arial" w:hAnsi="Arial" w:cs="Arial"/>
                <w:color w:val="000000"/>
              </w:rPr>
            </w:pPr>
            <w:r w:rsidRPr="00671A93">
              <w:rPr>
                <w:rFonts w:ascii="Arial" w:hAnsi="Arial" w:cs="Arial"/>
                <w:color w:val="000000"/>
              </w:rPr>
              <w:t xml:space="preserve">Индекс цен производителей сельскохозяйственной продукции </w:t>
            </w:r>
          </w:p>
        </w:tc>
        <w:tc>
          <w:tcPr>
            <w:tcW w:w="155" w:type="pct"/>
          </w:tcPr>
          <w:p w:rsidR="0095321F" w:rsidRPr="00671A93" w:rsidRDefault="0095321F" w:rsidP="0037013F">
            <w:pPr>
              <w:spacing w:before="120"/>
              <w:rPr>
                <w:rFonts w:ascii="Arial" w:hAnsi="Arial" w:cs="Arial"/>
                <w:b/>
                <w:color w:val="000000"/>
                <w:lang w:val="en-US"/>
              </w:rPr>
            </w:pPr>
            <w:r w:rsidRPr="00671A93">
              <w:rPr>
                <w:rFonts w:ascii="Arial" w:hAnsi="Arial" w:cs="Arial"/>
                <w:b/>
                <w:color w:val="000000"/>
                <w:lang w:val="en-US"/>
              </w:rPr>
              <w:t>6</w:t>
            </w:r>
          </w:p>
        </w:tc>
        <w:tc>
          <w:tcPr>
            <w:tcW w:w="2473" w:type="pct"/>
          </w:tcPr>
          <w:p w:rsidR="0095321F" w:rsidRPr="00671A93" w:rsidRDefault="0095321F" w:rsidP="0037013F">
            <w:pPr>
              <w:spacing w:before="120"/>
              <w:rPr>
                <w:rFonts w:ascii="Arial" w:hAnsi="Arial" w:cs="Arial"/>
                <w:color w:val="000000"/>
              </w:rPr>
            </w:pPr>
            <w:r w:rsidRPr="00671A93">
              <w:rPr>
                <w:rFonts w:ascii="Arial" w:hAnsi="Arial" w:cs="Arial"/>
                <w:color w:val="000000"/>
              </w:rPr>
              <w:t>Индекс тарифов на услуги связи</w:t>
            </w:r>
          </w:p>
        </w:tc>
      </w:tr>
    </w:tbl>
    <w:bookmarkEnd w:id="33"/>
    <w:bookmarkEnd w:id="34"/>
    <w:bookmarkEnd w:id="35"/>
    <w:p w:rsidR="0095321F" w:rsidRPr="00552C45" w:rsidRDefault="00682E8F" w:rsidP="0095321F">
      <w:pPr>
        <w:pStyle w:val="33"/>
        <w:pageBreakBefore/>
        <w:ind w:firstLine="0"/>
        <w:jc w:val="center"/>
        <w:rPr>
          <w:rFonts w:ascii="Arial" w:hAnsi="Arial" w:cs="Arial"/>
          <w:b/>
          <w:szCs w:val="24"/>
        </w:rPr>
      </w:pPr>
      <w:r w:rsidRPr="00552C45">
        <w:rPr>
          <w:rFonts w:ascii="Arial" w:hAnsi="Arial" w:cs="Arial"/>
          <w:b/>
          <w:szCs w:val="24"/>
        </w:rPr>
        <w:lastRenderedPageBreak/>
        <w:t>ИЗМЕНЕНИЕ ПОТРЕБИТЕЛЬСКИХ ЦЕН И СТОИМОСТИ МИНИМАЛЬНОГО НАБОРА В 2001-2011 ГОДАХ</w:t>
      </w: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
        <w:gridCol w:w="922"/>
        <w:gridCol w:w="992"/>
        <w:gridCol w:w="993"/>
        <w:gridCol w:w="1134"/>
        <w:gridCol w:w="9497"/>
      </w:tblGrid>
      <w:tr w:rsidR="0095321F" w:rsidTr="0037013F">
        <w:trPr>
          <w:trHeight w:val="375"/>
        </w:trPr>
        <w:tc>
          <w:tcPr>
            <w:tcW w:w="14459" w:type="dxa"/>
            <w:gridSpan w:val="6"/>
            <w:tcBorders>
              <w:top w:val="nil"/>
              <w:left w:val="nil"/>
              <w:bottom w:val="double" w:sz="4" w:space="0" w:color="auto"/>
              <w:right w:val="nil"/>
            </w:tcBorders>
            <w:vAlign w:val="center"/>
          </w:tcPr>
          <w:p w:rsidR="0095321F" w:rsidRPr="0037013F" w:rsidRDefault="0095321F" w:rsidP="0037013F">
            <w:pPr>
              <w:jc w:val="center"/>
              <w:rPr>
                <w:rFonts w:ascii="Arial" w:hAnsi="Arial" w:cs="Arial"/>
                <w:bCs/>
                <w:sz w:val="22"/>
                <w:szCs w:val="22"/>
              </w:rPr>
            </w:pPr>
            <w:r w:rsidRPr="0037013F">
              <w:rPr>
                <w:rFonts w:ascii="Arial" w:hAnsi="Arial" w:cs="Arial"/>
                <w:bCs/>
                <w:sz w:val="22"/>
                <w:szCs w:val="22"/>
              </w:rPr>
              <w:t xml:space="preserve">(декабрь к декабрю предыдущего года, </w:t>
            </w:r>
            <w:proofErr w:type="gramStart"/>
            <w:r w:rsidRPr="0037013F">
              <w:rPr>
                <w:rFonts w:ascii="Arial" w:hAnsi="Arial" w:cs="Arial"/>
                <w:bCs/>
                <w:sz w:val="22"/>
                <w:szCs w:val="22"/>
              </w:rPr>
              <w:t>в</w:t>
            </w:r>
            <w:proofErr w:type="gramEnd"/>
            <w:r w:rsidRPr="0037013F">
              <w:rPr>
                <w:rFonts w:ascii="Arial" w:hAnsi="Arial" w:cs="Arial"/>
                <w:bCs/>
                <w:sz w:val="22"/>
                <w:szCs w:val="22"/>
              </w:rPr>
              <w:t xml:space="preserve"> %)</w:t>
            </w: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399"/>
        </w:trPr>
        <w:tc>
          <w:tcPr>
            <w:tcW w:w="921" w:type="dxa"/>
            <w:vMerge w:val="restart"/>
            <w:tcBorders>
              <w:top w:val="double" w:sz="4" w:space="0" w:color="auto"/>
            </w:tcBorders>
            <w:shd w:val="clear" w:color="auto" w:fill="C6D9F1" w:themeFill="text2" w:themeFillTint="33"/>
          </w:tcPr>
          <w:p w:rsidR="0095321F" w:rsidRPr="000A38AF" w:rsidRDefault="0095321F" w:rsidP="000A38AF">
            <w:pPr>
              <w:spacing w:before="120" w:after="120"/>
              <w:ind w:left="113"/>
              <w:rPr>
                <w:rFonts w:ascii="Arial" w:hAnsi="Arial" w:cs="Arial"/>
                <w:bCs/>
                <w:sz w:val="18"/>
                <w:szCs w:val="18"/>
              </w:rPr>
            </w:pPr>
            <w:r w:rsidRPr="000A38AF">
              <w:rPr>
                <w:rFonts w:ascii="Arial" w:hAnsi="Arial" w:cs="Arial"/>
                <w:bCs/>
                <w:sz w:val="18"/>
                <w:szCs w:val="18"/>
              </w:rPr>
              <w:t>Год</w:t>
            </w:r>
          </w:p>
        </w:tc>
        <w:tc>
          <w:tcPr>
            <w:tcW w:w="922" w:type="dxa"/>
            <w:vMerge w:val="restart"/>
            <w:tcBorders>
              <w:top w:val="double" w:sz="4" w:space="0" w:color="auto"/>
            </w:tcBorders>
            <w:shd w:val="clear" w:color="auto" w:fill="C6D9F1" w:themeFill="text2" w:themeFillTint="33"/>
          </w:tcPr>
          <w:p w:rsidR="0095321F" w:rsidRPr="000A38AF" w:rsidRDefault="0095321F" w:rsidP="000A38AF">
            <w:pPr>
              <w:spacing w:before="120" w:after="120"/>
              <w:rPr>
                <w:rFonts w:ascii="Arial" w:hAnsi="Arial" w:cs="Arial"/>
                <w:bCs/>
                <w:sz w:val="18"/>
                <w:szCs w:val="18"/>
              </w:rPr>
            </w:pPr>
            <w:r w:rsidRPr="000A38AF">
              <w:rPr>
                <w:rFonts w:ascii="Arial" w:hAnsi="Arial" w:cs="Arial"/>
                <w:bCs/>
                <w:sz w:val="18"/>
                <w:szCs w:val="18"/>
              </w:rPr>
              <w:t>Индекс потр</w:t>
            </w:r>
            <w:r w:rsidRPr="000A38AF">
              <w:rPr>
                <w:rFonts w:ascii="Arial" w:hAnsi="Arial" w:cs="Arial"/>
                <w:bCs/>
                <w:sz w:val="18"/>
                <w:szCs w:val="18"/>
              </w:rPr>
              <w:t>е</w:t>
            </w:r>
            <w:r w:rsidRPr="000A38AF">
              <w:rPr>
                <w:rFonts w:ascii="Arial" w:hAnsi="Arial" w:cs="Arial"/>
                <w:bCs/>
                <w:sz w:val="18"/>
                <w:szCs w:val="18"/>
              </w:rPr>
              <w:t>бител</w:t>
            </w:r>
            <w:r w:rsidRPr="000A38AF">
              <w:rPr>
                <w:rFonts w:ascii="Arial" w:hAnsi="Arial" w:cs="Arial"/>
                <w:bCs/>
                <w:sz w:val="18"/>
                <w:szCs w:val="18"/>
              </w:rPr>
              <w:t>ь</w:t>
            </w:r>
            <w:r w:rsidRPr="000A38AF">
              <w:rPr>
                <w:rFonts w:ascii="Arial" w:hAnsi="Arial" w:cs="Arial"/>
                <w:bCs/>
                <w:sz w:val="18"/>
                <w:szCs w:val="18"/>
              </w:rPr>
              <w:t>ских цен</w:t>
            </w:r>
          </w:p>
        </w:tc>
        <w:tc>
          <w:tcPr>
            <w:tcW w:w="1985" w:type="dxa"/>
            <w:gridSpan w:val="2"/>
            <w:tcBorders>
              <w:top w:val="double" w:sz="4" w:space="0" w:color="auto"/>
            </w:tcBorders>
            <w:shd w:val="clear" w:color="auto" w:fill="C6D9F1" w:themeFill="text2" w:themeFillTint="33"/>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 xml:space="preserve">В том числе </w:t>
            </w:r>
            <w:proofErr w:type="gramStart"/>
            <w:r w:rsidRPr="000A38AF">
              <w:rPr>
                <w:rFonts w:ascii="Arial" w:hAnsi="Arial" w:cs="Arial"/>
                <w:bCs/>
                <w:sz w:val="18"/>
                <w:szCs w:val="18"/>
              </w:rPr>
              <w:t>на</w:t>
            </w:r>
            <w:proofErr w:type="gramEnd"/>
          </w:p>
        </w:tc>
        <w:tc>
          <w:tcPr>
            <w:tcW w:w="1134" w:type="dxa"/>
            <w:vMerge w:val="restart"/>
            <w:tcBorders>
              <w:top w:val="double" w:sz="4" w:space="0" w:color="auto"/>
            </w:tcBorders>
            <w:shd w:val="clear" w:color="auto" w:fill="C6D9F1" w:themeFill="text2" w:themeFillTint="33"/>
          </w:tcPr>
          <w:p w:rsidR="0095321F" w:rsidRPr="000A38AF" w:rsidRDefault="0095321F" w:rsidP="000A38AF">
            <w:pPr>
              <w:spacing w:before="120" w:after="120"/>
              <w:rPr>
                <w:rFonts w:ascii="Arial" w:hAnsi="Arial" w:cs="Arial"/>
                <w:bCs/>
                <w:sz w:val="18"/>
                <w:szCs w:val="18"/>
              </w:rPr>
            </w:pPr>
            <w:r w:rsidRPr="000A38AF">
              <w:rPr>
                <w:rFonts w:ascii="Arial" w:hAnsi="Arial" w:cs="Arial"/>
                <w:bCs/>
                <w:sz w:val="18"/>
                <w:szCs w:val="18"/>
              </w:rPr>
              <w:t>Стоимость мин</w:t>
            </w:r>
            <w:r w:rsidRPr="000A38AF">
              <w:rPr>
                <w:rFonts w:ascii="Arial" w:hAnsi="Arial" w:cs="Arial"/>
                <w:bCs/>
                <w:sz w:val="18"/>
                <w:szCs w:val="18"/>
              </w:rPr>
              <w:t>и</w:t>
            </w:r>
            <w:r w:rsidRPr="000A38AF">
              <w:rPr>
                <w:rFonts w:ascii="Arial" w:hAnsi="Arial" w:cs="Arial"/>
                <w:bCs/>
                <w:sz w:val="18"/>
                <w:szCs w:val="18"/>
              </w:rPr>
              <w:t>мального набора продуктов питания</w:t>
            </w:r>
          </w:p>
        </w:tc>
        <w:tc>
          <w:tcPr>
            <w:tcW w:w="9497" w:type="dxa"/>
            <w:vMerge w:val="restart"/>
            <w:tcBorders>
              <w:top w:val="double" w:sz="4" w:space="0" w:color="auto"/>
              <w:right w:val="double" w:sz="4" w:space="0" w:color="auto"/>
            </w:tcBorders>
            <w:shd w:val="clear" w:color="auto" w:fill="FFF5EB"/>
          </w:tcPr>
          <w:p w:rsidR="0095321F" w:rsidRDefault="0095321F" w:rsidP="0037013F">
            <w:pPr>
              <w:spacing w:before="120" w:after="120"/>
              <w:jc w:val="center"/>
              <w:rPr>
                <w:rFonts w:ascii="Arial" w:hAnsi="Arial" w:cs="Arial"/>
                <w:bCs/>
              </w:rPr>
            </w:pPr>
            <w:r>
              <w:rPr>
                <w:rFonts w:ascii="Arial" w:hAnsi="Arial" w:cs="Arial"/>
                <w:bCs/>
                <w:noProof/>
              </w:rPr>
              <w:drawing>
                <wp:inline distT="0" distB="0" distL="0" distR="0" wp14:anchorId="09FEE7E8" wp14:editId="131357AC">
                  <wp:extent cx="5871611" cy="1915427"/>
                  <wp:effectExtent l="19050" t="0" r="0" b="0"/>
                  <wp:docPr id="94" name="Объект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95321F" w:rsidRDefault="0095321F" w:rsidP="0037013F">
            <w:pPr>
              <w:spacing w:before="120" w:after="120"/>
              <w:jc w:val="center"/>
              <w:rPr>
                <w:rFonts w:ascii="Arial" w:hAnsi="Arial" w:cs="Arial"/>
                <w:bCs/>
                <w:lang w:val="en-US"/>
              </w:rPr>
            </w:pPr>
            <w:r>
              <w:rPr>
                <w:rFonts w:ascii="Arial" w:hAnsi="Arial" w:cs="Arial"/>
                <w:bCs/>
                <w:noProof/>
              </w:rPr>
              <w:drawing>
                <wp:inline distT="0" distB="0" distL="0" distR="0" wp14:anchorId="68171149" wp14:editId="57FF1960">
                  <wp:extent cx="5871611" cy="1992430"/>
                  <wp:effectExtent l="19050" t="0" r="0" b="0"/>
                  <wp:docPr id="95" name="Объект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bl>
            <w:tblPr>
              <w:tblW w:w="7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FF"/>
              <w:tblLayout w:type="fixed"/>
              <w:tblLook w:val="01E0" w:firstRow="1" w:lastRow="1" w:firstColumn="1" w:lastColumn="1" w:noHBand="0" w:noVBand="0"/>
            </w:tblPr>
            <w:tblGrid>
              <w:gridCol w:w="1095"/>
              <w:gridCol w:w="6163"/>
            </w:tblGrid>
            <w:tr w:rsidR="0095321F" w:rsidTr="009C73A3">
              <w:trPr>
                <w:trHeight w:val="20"/>
                <w:jc w:val="center"/>
              </w:trPr>
              <w:tc>
                <w:tcPr>
                  <w:tcW w:w="1095" w:type="dxa"/>
                  <w:shd w:val="clear" w:color="auto" w:fill="auto"/>
                </w:tcPr>
                <w:p w:rsidR="0095321F" w:rsidRDefault="00332A2B" w:rsidP="0037013F">
                  <w:pPr>
                    <w:spacing w:before="40" w:after="40"/>
                    <w:jc w:val="center"/>
                    <w:rPr>
                      <w:rFonts w:ascii="Arial" w:hAnsi="Arial" w:cs="Arial"/>
                      <w:color w:val="000000"/>
                      <w:sz w:val="18"/>
                      <w:szCs w:val="18"/>
                    </w:rPr>
                  </w:pPr>
                  <w:r w:rsidRPr="005237B8">
                    <w:rPr>
                      <w:bCs/>
                      <w:noProof/>
                      <w:sz w:val="18"/>
                      <w:szCs w:val="18"/>
                    </w:rPr>
                    <w:object w:dxaOrig="556" w:dyaOrig="166">
                      <v:shape id="_x0000_i1025" type="#_x0000_t75" style="width:27.85pt;height:8.85pt" o:ole="">
                        <v:imagedata r:id="rId73" o:title=""/>
                      </v:shape>
                      <o:OLEObject Type="Embed" ProgID="Word.Picture.8" ShapeID="_x0000_i1025" DrawAspect="Content" ObjectID="_1451281190" r:id="rId74"/>
                    </w:object>
                  </w:r>
                </w:p>
              </w:tc>
              <w:tc>
                <w:tcPr>
                  <w:tcW w:w="6163" w:type="dxa"/>
                  <w:shd w:val="clear" w:color="auto" w:fill="auto"/>
                </w:tcPr>
                <w:p w:rsidR="0095321F" w:rsidRDefault="0095321F" w:rsidP="0037013F">
                  <w:pPr>
                    <w:spacing w:before="40" w:after="40"/>
                    <w:rPr>
                      <w:rFonts w:ascii="Arial" w:hAnsi="Arial" w:cs="Arial"/>
                      <w:color w:val="000000"/>
                      <w:sz w:val="18"/>
                      <w:szCs w:val="18"/>
                    </w:rPr>
                  </w:pPr>
                  <w:r>
                    <w:rPr>
                      <w:rFonts w:ascii="Arial" w:hAnsi="Arial" w:cs="Arial"/>
                      <w:color w:val="000000"/>
                      <w:sz w:val="18"/>
                      <w:szCs w:val="18"/>
                    </w:rPr>
                    <w:t>потребительские цены на продовольственные товары</w:t>
                  </w:r>
                </w:p>
              </w:tc>
            </w:tr>
            <w:tr w:rsidR="0095321F" w:rsidTr="009C73A3">
              <w:trPr>
                <w:trHeight w:val="20"/>
                <w:jc w:val="center"/>
              </w:trPr>
              <w:tc>
                <w:tcPr>
                  <w:tcW w:w="1095" w:type="dxa"/>
                  <w:shd w:val="clear" w:color="auto" w:fill="auto"/>
                </w:tcPr>
                <w:p w:rsidR="0095321F" w:rsidRDefault="00332A2B" w:rsidP="0037013F">
                  <w:pPr>
                    <w:spacing w:before="40" w:after="40"/>
                    <w:jc w:val="center"/>
                    <w:rPr>
                      <w:bCs/>
                      <w:noProof/>
                      <w:sz w:val="18"/>
                      <w:szCs w:val="18"/>
                    </w:rPr>
                  </w:pPr>
                  <w:r w:rsidRPr="005237B8">
                    <w:rPr>
                      <w:bCs/>
                      <w:noProof/>
                      <w:sz w:val="18"/>
                      <w:szCs w:val="18"/>
                    </w:rPr>
                    <w:object w:dxaOrig="556" w:dyaOrig="166">
                      <v:shape id="_x0000_i1026" type="#_x0000_t75" style="width:27.85pt;height:8.85pt" o:ole="">
                        <v:imagedata r:id="rId75" o:title=""/>
                      </v:shape>
                      <o:OLEObject Type="Embed" ProgID="Word.Picture.8" ShapeID="_x0000_i1026" DrawAspect="Content" ObjectID="_1451281191" r:id="rId76"/>
                    </w:object>
                  </w:r>
                </w:p>
              </w:tc>
              <w:tc>
                <w:tcPr>
                  <w:tcW w:w="6163" w:type="dxa"/>
                  <w:shd w:val="clear" w:color="auto" w:fill="auto"/>
                </w:tcPr>
                <w:p w:rsidR="0095321F" w:rsidRDefault="0095321F" w:rsidP="0037013F">
                  <w:pPr>
                    <w:spacing w:before="40" w:after="40"/>
                    <w:rPr>
                      <w:rFonts w:ascii="Arial" w:hAnsi="Arial" w:cs="Arial"/>
                      <w:color w:val="000000"/>
                      <w:sz w:val="18"/>
                      <w:szCs w:val="18"/>
                    </w:rPr>
                  </w:pPr>
                  <w:r>
                    <w:rPr>
                      <w:rFonts w:ascii="Arial" w:hAnsi="Arial" w:cs="Arial"/>
                      <w:color w:val="000000"/>
                      <w:sz w:val="18"/>
                      <w:szCs w:val="18"/>
                    </w:rPr>
                    <w:t>потребительские цены на непродовольственные товары</w:t>
                  </w:r>
                </w:p>
              </w:tc>
            </w:tr>
            <w:tr w:rsidR="0095321F" w:rsidTr="009C73A3">
              <w:trPr>
                <w:trHeight w:val="20"/>
                <w:jc w:val="center"/>
              </w:trPr>
              <w:tc>
                <w:tcPr>
                  <w:tcW w:w="1095" w:type="dxa"/>
                  <w:shd w:val="clear" w:color="auto" w:fill="auto"/>
                </w:tcPr>
                <w:p w:rsidR="0095321F" w:rsidRDefault="009C73A3" w:rsidP="0037013F">
                  <w:pPr>
                    <w:spacing w:before="40" w:after="40"/>
                    <w:jc w:val="center"/>
                    <w:rPr>
                      <w:sz w:val="18"/>
                      <w:szCs w:val="18"/>
                    </w:rPr>
                  </w:pPr>
                  <w:r w:rsidRPr="009C73A3">
                    <w:rPr>
                      <w:noProof/>
                      <w:sz w:val="18"/>
                      <w:szCs w:val="18"/>
                    </w:rPr>
                    <w:drawing>
                      <wp:inline distT="0" distB="0" distL="0" distR="0" wp14:anchorId="707D5B61" wp14:editId="14277A79">
                        <wp:extent cx="328992" cy="160444"/>
                        <wp:effectExtent l="1905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srcRect l="87003" t="53144" r="8618" b="43175"/>
                                <a:stretch>
                                  <a:fillRect/>
                                </a:stretch>
                              </pic:blipFill>
                              <pic:spPr bwMode="auto">
                                <a:xfrm>
                                  <a:off x="0" y="0"/>
                                  <a:ext cx="328992" cy="160444"/>
                                </a:xfrm>
                                <a:prstGeom prst="rect">
                                  <a:avLst/>
                                </a:prstGeom>
                                <a:noFill/>
                              </pic:spPr>
                            </pic:pic>
                          </a:graphicData>
                        </a:graphic>
                      </wp:inline>
                    </w:drawing>
                  </w:r>
                </w:p>
              </w:tc>
              <w:tc>
                <w:tcPr>
                  <w:tcW w:w="6163" w:type="dxa"/>
                  <w:shd w:val="clear" w:color="auto" w:fill="auto"/>
                </w:tcPr>
                <w:p w:rsidR="0095321F" w:rsidRDefault="0095321F" w:rsidP="0037013F">
                  <w:pPr>
                    <w:spacing w:before="40" w:after="40"/>
                    <w:rPr>
                      <w:sz w:val="18"/>
                      <w:szCs w:val="18"/>
                    </w:rPr>
                  </w:pPr>
                  <w:r>
                    <w:rPr>
                      <w:rFonts w:ascii="Arial" w:hAnsi="Arial" w:cs="Arial"/>
                      <w:color w:val="000000"/>
                      <w:sz w:val="18"/>
                      <w:szCs w:val="18"/>
                    </w:rPr>
                    <w:t>стоимость минимального набора продуктов питания</w:t>
                  </w:r>
                </w:p>
              </w:tc>
            </w:tr>
            <w:tr w:rsidR="0095321F" w:rsidTr="009C73A3">
              <w:trPr>
                <w:trHeight w:val="20"/>
                <w:jc w:val="center"/>
              </w:trPr>
              <w:tc>
                <w:tcPr>
                  <w:tcW w:w="1095" w:type="dxa"/>
                  <w:shd w:val="clear" w:color="auto" w:fill="auto"/>
                </w:tcPr>
                <w:p w:rsidR="0095321F" w:rsidRDefault="00406629" w:rsidP="0037013F">
                  <w:pPr>
                    <w:spacing w:before="40" w:after="40"/>
                    <w:jc w:val="center"/>
                    <w:rPr>
                      <w:noProof/>
                      <w:sz w:val="18"/>
                      <w:szCs w:val="18"/>
                    </w:rPr>
                  </w:pPr>
                  <w:r>
                    <w:rPr>
                      <w:noProof/>
                    </w:rPr>
                    <w:pict>
                      <v:rect id="_x0000_s1161" style="position:absolute;left:0;text-align:left;margin-left:8pt;margin-top:1.15pt;width:27.75pt;height:7.15pt;z-index:251787264;mso-position-horizontal-relative:text;mso-position-vertical-relative:text" fillcolor="#0070c0"/>
                    </w:pict>
                  </w:r>
                </w:p>
              </w:tc>
              <w:tc>
                <w:tcPr>
                  <w:tcW w:w="6163" w:type="dxa"/>
                  <w:shd w:val="clear" w:color="auto" w:fill="auto"/>
                </w:tcPr>
                <w:p w:rsidR="0095321F" w:rsidRDefault="0095321F" w:rsidP="0037013F">
                  <w:pPr>
                    <w:spacing w:before="40" w:after="40"/>
                    <w:rPr>
                      <w:rFonts w:ascii="Arial" w:hAnsi="Arial" w:cs="Arial"/>
                      <w:color w:val="000000"/>
                      <w:sz w:val="18"/>
                      <w:szCs w:val="18"/>
                    </w:rPr>
                  </w:pPr>
                  <w:r>
                    <w:rPr>
                      <w:rFonts w:ascii="Arial" w:hAnsi="Arial" w:cs="Arial"/>
                      <w:color w:val="000000"/>
                      <w:sz w:val="18"/>
                      <w:szCs w:val="18"/>
                    </w:rPr>
                    <w:t>и</w:t>
                  </w:r>
                  <w:r w:rsidRPr="00AF432F">
                    <w:rPr>
                      <w:rFonts w:ascii="Arial" w:hAnsi="Arial" w:cs="Arial"/>
                      <w:color w:val="000000"/>
                      <w:sz w:val="18"/>
                      <w:szCs w:val="18"/>
                    </w:rPr>
                    <w:t>ндекс потребительских цен</w:t>
                  </w:r>
                </w:p>
              </w:tc>
            </w:tr>
          </w:tbl>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577"/>
        </w:trPr>
        <w:tc>
          <w:tcPr>
            <w:tcW w:w="921" w:type="dxa"/>
            <w:vMerge/>
            <w:tcBorders>
              <w:bottom w:val="double" w:sz="4" w:space="0" w:color="auto"/>
            </w:tcBorders>
            <w:shd w:val="clear" w:color="auto" w:fill="C6D9F1" w:themeFill="text2" w:themeFillTint="33"/>
          </w:tcPr>
          <w:p w:rsidR="0095321F" w:rsidRPr="000A38AF" w:rsidRDefault="0095321F" w:rsidP="000A38AF">
            <w:pPr>
              <w:spacing w:before="120" w:after="120"/>
              <w:rPr>
                <w:rFonts w:ascii="Arial" w:hAnsi="Arial" w:cs="Arial"/>
                <w:bCs/>
                <w:sz w:val="18"/>
                <w:szCs w:val="18"/>
              </w:rPr>
            </w:pPr>
          </w:p>
        </w:tc>
        <w:tc>
          <w:tcPr>
            <w:tcW w:w="922" w:type="dxa"/>
            <w:vMerge/>
            <w:tcBorders>
              <w:bottom w:val="double" w:sz="4" w:space="0" w:color="auto"/>
            </w:tcBorders>
            <w:shd w:val="clear" w:color="auto" w:fill="C6D9F1" w:themeFill="text2" w:themeFillTint="33"/>
          </w:tcPr>
          <w:p w:rsidR="0095321F" w:rsidRPr="000A38AF" w:rsidRDefault="0095321F" w:rsidP="000A38AF">
            <w:pPr>
              <w:spacing w:before="120" w:after="120"/>
              <w:jc w:val="center"/>
              <w:rPr>
                <w:rFonts w:ascii="Arial" w:hAnsi="Arial" w:cs="Arial"/>
                <w:bCs/>
                <w:sz w:val="18"/>
                <w:szCs w:val="18"/>
              </w:rPr>
            </w:pPr>
          </w:p>
        </w:tc>
        <w:tc>
          <w:tcPr>
            <w:tcW w:w="992" w:type="dxa"/>
            <w:tcBorders>
              <w:bottom w:val="double" w:sz="4" w:space="0" w:color="auto"/>
            </w:tcBorders>
            <w:shd w:val="clear" w:color="auto" w:fill="C6D9F1" w:themeFill="text2" w:themeFillTint="33"/>
          </w:tcPr>
          <w:p w:rsidR="0095321F" w:rsidRPr="000A38AF" w:rsidRDefault="0095321F" w:rsidP="000A38AF">
            <w:pPr>
              <w:spacing w:before="120" w:after="120"/>
              <w:rPr>
                <w:rFonts w:ascii="Arial" w:hAnsi="Arial" w:cs="Arial"/>
                <w:bCs/>
                <w:sz w:val="18"/>
                <w:szCs w:val="18"/>
              </w:rPr>
            </w:pPr>
            <w:r w:rsidRPr="000A38AF">
              <w:rPr>
                <w:rFonts w:ascii="Arial" w:hAnsi="Arial" w:cs="Arial"/>
                <w:bCs/>
                <w:sz w:val="18"/>
                <w:szCs w:val="18"/>
              </w:rPr>
              <w:t>прод</w:t>
            </w:r>
            <w:r w:rsidRPr="000A38AF">
              <w:rPr>
                <w:rFonts w:ascii="Arial" w:hAnsi="Arial" w:cs="Arial"/>
                <w:bCs/>
                <w:sz w:val="18"/>
                <w:szCs w:val="18"/>
              </w:rPr>
              <w:t>о</w:t>
            </w:r>
            <w:r w:rsidRPr="000A38AF">
              <w:rPr>
                <w:rFonts w:ascii="Arial" w:hAnsi="Arial" w:cs="Arial"/>
                <w:bCs/>
                <w:sz w:val="18"/>
                <w:szCs w:val="18"/>
              </w:rPr>
              <w:t>вол</w:t>
            </w:r>
            <w:r w:rsidRPr="000A38AF">
              <w:rPr>
                <w:rFonts w:ascii="Arial" w:hAnsi="Arial" w:cs="Arial"/>
                <w:bCs/>
                <w:sz w:val="18"/>
                <w:szCs w:val="18"/>
              </w:rPr>
              <w:t>ь</w:t>
            </w:r>
            <w:r w:rsidRPr="000A38AF">
              <w:rPr>
                <w:rFonts w:ascii="Arial" w:hAnsi="Arial" w:cs="Arial"/>
                <w:bCs/>
                <w:sz w:val="18"/>
                <w:szCs w:val="18"/>
              </w:rPr>
              <w:t>стве</w:t>
            </w:r>
            <w:r w:rsidRPr="000A38AF">
              <w:rPr>
                <w:rFonts w:ascii="Arial" w:hAnsi="Arial" w:cs="Arial"/>
                <w:bCs/>
                <w:sz w:val="18"/>
                <w:szCs w:val="18"/>
              </w:rPr>
              <w:t>н</w:t>
            </w:r>
            <w:r w:rsidRPr="000A38AF">
              <w:rPr>
                <w:rFonts w:ascii="Arial" w:hAnsi="Arial" w:cs="Arial"/>
                <w:bCs/>
                <w:sz w:val="18"/>
                <w:szCs w:val="18"/>
              </w:rPr>
              <w:t>ные товары</w:t>
            </w:r>
          </w:p>
        </w:tc>
        <w:tc>
          <w:tcPr>
            <w:tcW w:w="993" w:type="dxa"/>
            <w:tcBorders>
              <w:bottom w:val="double" w:sz="4" w:space="0" w:color="auto"/>
            </w:tcBorders>
            <w:shd w:val="clear" w:color="auto" w:fill="C6D9F1" w:themeFill="text2" w:themeFillTint="33"/>
          </w:tcPr>
          <w:p w:rsidR="0095321F" w:rsidRPr="000A38AF" w:rsidRDefault="0095321F" w:rsidP="000A38AF">
            <w:pPr>
              <w:spacing w:before="120" w:after="120"/>
              <w:rPr>
                <w:rFonts w:ascii="Arial" w:hAnsi="Arial" w:cs="Arial"/>
                <w:bCs/>
                <w:sz w:val="18"/>
                <w:szCs w:val="18"/>
              </w:rPr>
            </w:pPr>
            <w:r w:rsidRPr="000A38AF">
              <w:rPr>
                <w:rFonts w:ascii="Arial" w:hAnsi="Arial" w:cs="Arial"/>
                <w:bCs/>
                <w:sz w:val="18"/>
                <w:szCs w:val="18"/>
              </w:rPr>
              <w:t>непр</w:t>
            </w:r>
            <w:r w:rsidRPr="000A38AF">
              <w:rPr>
                <w:rFonts w:ascii="Arial" w:hAnsi="Arial" w:cs="Arial"/>
                <w:bCs/>
                <w:sz w:val="18"/>
                <w:szCs w:val="18"/>
              </w:rPr>
              <w:t>о</w:t>
            </w:r>
            <w:r w:rsidRPr="000A38AF">
              <w:rPr>
                <w:rFonts w:ascii="Arial" w:hAnsi="Arial" w:cs="Arial"/>
                <w:bCs/>
                <w:sz w:val="18"/>
                <w:szCs w:val="18"/>
              </w:rPr>
              <w:t>довол</w:t>
            </w:r>
            <w:r w:rsidRPr="000A38AF">
              <w:rPr>
                <w:rFonts w:ascii="Arial" w:hAnsi="Arial" w:cs="Arial"/>
                <w:bCs/>
                <w:sz w:val="18"/>
                <w:szCs w:val="18"/>
              </w:rPr>
              <w:t>ь</w:t>
            </w:r>
            <w:r w:rsidRPr="000A38AF">
              <w:rPr>
                <w:rFonts w:ascii="Arial" w:hAnsi="Arial" w:cs="Arial"/>
                <w:bCs/>
                <w:sz w:val="18"/>
                <w:szCs w:val="18"/>
              </w:rPr>
              <w:t>стве</w:t>
            </w:r>
            <w:r w:rsidRPr="000A38AF">
              <w:rPr>
                <w:rFonts w:ascii="Arial" w:hAnsi="Arial" w:cs="Arial"/>
                <w:bCs/>
                <w:sz w:val="18"/>
                <w:szCs w:val="18"/>
              </w:rPr>
              <w:t>н</w:t>
            </w:r>
            <w:r w:rsidRPr="000A38AF">
              <w:rPr>
                <w:rFonts w:ascii="Arial" w:hAnsi="Arial" w:cs="Arial"/>
                <w:bCs/>
                <w:sz w:val="18"/>
                <w:szCs w:val="18"/>
              </w:rPr>
              <w:t>ные товары</w:t>
            </w:r>
          </w:p>
        </w:tc>
        <w:tc>
          <w:tcPr>
            <w:tcW w:w="1134" w:type="dxa"/>
            <w:vMerge/>
            <w:tcBorders>
              <w:bottom w:val="double" w:sz="4" w:space="0" w:color="auto"/>
            </w:tcBorders>
            <w:shd w:val="clear" w:color="auto" w:fill="C6D9F1" w:themeFill="text2" w:themeFillTint="33"/>
          </w:tcPr>
          <w:p w:rsidR="0095321F" w:rsidRPr="000A38AF" w:rsidRDefault="0095321F" w:rsidP="000A38AF">
            <w:pPr>
              <w:spacing w:before="120" w:after="120"/>
              <w:jc w:val="center"/>
              <w:rPr>
                <w:rFonts w:ascii="Arial" w:hAnsi="Arial" w:cs="Arial"/>
                <w:bCs/>
                <w:sz w:val="18"/>
                <w:szCs w:val="18"/>
              </w:rPr>
            </w:pPr>
          </w:p>
        </w:tc>
        <w:tc>
          <w:tcPr>
            <w:tcW w:w="9497" w:type="dxa"/>
            <w:vMerge/>
            <w:tcBorders>
              <w:right w:val="double" w:sz="4" w:space="0" w:color="auto"/>
            </w:tcBorders>
            <w:shd w:val="clear" w:color="auto" w:fill="FFF5EB"/>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2001</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128,1</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122,0</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115,5</w:t>
            </w:r>
          </w:p>
        </w:tc>
        <w:tc>
          <w:tcPr>
            <w:tcW w:w="1134" w:type="dxa"/>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126,0</w:t>
            </w:r>
          </w:p>
        </w:tc>
        <w:tc>
          <w:tcPr>
            <w:tcW w:w="9497" w:type="dxa"/>
            <w:vMerge/>
            <w:tcBorders>
              <w:right w:val="double" w:sz="4" w:space="0" w:color="auto"/>
            </w:tcBorders>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2002</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118,0</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113,6</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117,1</w:t>
            </w:r>
          </w:p>
        </w:tc>
        <w:tc>
          <w:tcPr>
            <w:tcW w:w="1134" w:type="dxa"/>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119,8</w:t>
            </w:r>
          </w:p>
        </w:tc>
        <w:tc>
          <w:tcPr>
            <w:tcW w:w="9497" w:type="dxa"/>
            <w:vMerge/>
            <w:tcBorders>
              <w:right w:val="double" w:sz="4" w:space="0" w:color="auto"/>
            </w:tcBorders>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2003</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114,6</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115,5</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110,1</w:t>
            </w:r>
          </w:p>
        </w:tc>
        <w:tc>
          <w:tcPr>
            <w:tcW w:w="1134" w:type="dxa"/>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106,9</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Borders>
              <w:bottom w:val="double" w:sz="4" w:space="0" w:color="auto"/>
            </w:tcBorders>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2004</w:t>
            </w:r>
          </w:p>
        </w:tc>
        <w:tc>
          <w:tcPr>
            <w:tcW w:w="922" w:type="dxa"/>
            <w:tcBorders>
              <w:bottom w:val="double" w:sz="4" w:space="0" w:color="auto"/>
            </w:tcBorders>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114,9</w:t>
            </w:r>
          </w:p>
        </w:tc>
        <w:tc>
          <w:tcPr>
            <w:tcW w:w="992" w:type="dxa"/>
            <w:tcBorders>
              <w:bottom w:val="double" w:sz="4" w:space="0" w:color="auto"/>
            </w:tcBorders>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112,5</w:t>
            </w:r>
          </w:p>
        </w:tc>
        <w:tc>
          <w:tcPr>
            <w:tcW w:w="993" w:type="dxa"/>
            <w:tcBorders>
              <w:bottom w:val="double" w:sz="4" w:space="0" w:color="auto"/>
            </w:tcBorders>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108,4</w:t>
            </w:r>
          </w:p>
        </w:tc>
        <w:tc>
          <w:tcPr>
            <w:tcW w:w="1134" w:type="dxa"/>
            <w:tcBorders>
              <w:bottom w:val="double" w:sz="4" w:space="0" w:color="auto"/>
            </w:tcBorders>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111,2</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2005</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110,8</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110,0</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110,3</w:t>
            </w:r>
          </w:p>
        </w:tc>
        <w:tc>
          <w:tcPr>
            <w:tcW w:w="1134" w:type="dxa"/>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109,5</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2006</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108,5</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107,7</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106,8</w:t>
            </w:r>
          </w:p>
        </w:tc>
        <w:tc>
          <w:tcPr>
            <w:tcW w:w="1134" w:type="dxa"/>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106,1</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2007</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113,8</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117,2</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109,1</w:t>
            </w:r>
          </w:p>
        </w:tc>
        <w:tc>
          <w:tcPr>
            <w:tcW w:w="1134" w:type="dxa"/>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124,4</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2008</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114,1</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116,8</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109,4</w:t>
            </w:r>
          </w:p>
        </w:tc>
        <w:tc>
          <w:tcPr>
            <w:tcW w:w="1134" w:type="dxa"/>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114,0</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2009</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107,6</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104,0</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109,9</w:t>
            </w:r>
          </w:p>
        </w:tc>
        <w:tc>
          <w:tcPr>
            <w:tcW w:w="1134" w:type="dxa"/>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98,0</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2010</w:t>
            </w:r>
          </w:p>
        </w:tc>
        <w:tc>
          <w:tcPr>
            <w:tcW w:w="92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110,6</w:t>
            </w:r>
          </w:p>
        </w:tc>
        <w:tc>
          <w:tcPr>
            <w:tcW w:w="992"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115,1</w:t>
            </w:r>
          </w:p>
        </w:tc>
        <w:tc>
          <w:tcPr>
            <w:tcW w:w="993" w:type="dxa"/>
          </w:tcPr>
          <w:p w:rsidR="0095321F" w:rsidRPr="000A38AF" w:rsidRDefault="0095321F" w:rsidP="000A38AF">
            <w:pPr>
              <w:spacing w:before="120" w:after="120"/>
              <w:jc w:val="center"/>
              <w:rPr>
                <w:rFonts w:ascii="Arial" w:hAnsi="Arial" w:cs="Arial"/>
                <w:sz w:val="18"/>
                <w:szCs w:val="18"/>
              </w:rPr>
            </w:pPr>
            <w:r w:rsidRPr="000A38AF">
              <w:rPr>
                <w:rFonts w:ascii="Arial" w:hAnsi="Arial" w:cs="Arial"/>
                <w:sz w:val="18"/>
                <w:szCs w:val="18"/>
              </w:rPr>
              <w:t>105,5</w:t>
            </w:r>
          </w:p>
        </w:tc>
        <w:tc>
          <w:tcPr>
            <w:tcW w:w="1134" w:type="dxa"/>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132,3</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94"/>
        </w:trPr>
        <w:tc>
          <w:tcPr>
            <w:tcW w:w="921" w:type="dxa"/>
            <w:vAlign w:val="bottom"/>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2011</w:t>
            </w:r>
          </w:p>
        </w:tc>
        <w:tc>
          <w:tcPr>
            <w:tcW w:w="922" w:type="dxa"/>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106,7</w:t>
            </w:r>
          </w:p>
        </w:tc>
        <w:tc>
          <w:tcPr>
            <w:tcW w:w="992" w:type="dxa"/>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104,3</w:t>
            </w:r>
          </w:p>
        </w:tc>
        <w:tc>
          <w:tcPr>
            <w:tcW w:w="993" w:type="dxa"/>
            <w:vAlign w:val="bottom"/>
          </w:tcPr>
          <w:p w:rsidR="0095321F" w:rsidRPr="000A38AF" w:rsidRDefault="0095321F" w:rsidP="000A38AF">
            <w:pPr>
              <w:pStyle w:val="aff"/>
              <w:spacing w:before="120" w:after="120" w:line="240" w:lineRule="auto"/>
              <w:rPr>
                <w:rFonts w:cs="Arial"/>
                <w:bCs/>
                <w:sz w:val="18"/>
                <w:szCs w:val="18"/>
              </w:rPr>
            </w:pPr>
            <w:r w:rsidRPr="000A38AF">
              <w:rPr>
                <w:rFonts w:cs="Arial"/>
                <w:bCs/>
                <w:sz w:val="18"/>
                <w:szCs w:val="18"/>
              </w:rPr>
              <w:t>107,9</w:t>
            </w:r>
          </w:p>
        </w:tc>
        <w:tc>
          <w:tcPr>
            <w:tcW w:w="1134" w:type="dxa"/>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90,5</w:t>
            </w:r>
          </w:p>
        </w:tc>
        <w:tc>
          <w:tcPr>
            <w:tcW w:w="9497" w:type="dxa"/>
            <w:vMerge/>
            <w:tcBorders>
              <w:right w:val="double" w:sz="4" w:space="0" w:color="auto"/>
            </w:tcBorders>
            <w:vAlign w:val="bottom"/>
          </w:tcPr>
          <w:p w:rsidR="0095321F" w:rsidRDefault="0095321F" w:rsidP="0037013F">
            <w:pPr>
              <w:spacing w:before="120" w:after="40"/>
              <w:jc w:val="center"/>
              <w:rPr>
                <w:rFonts w:ascii="Arial" w:hAnsi="Arial" w:cs="Arial"/>
                <w:bCs/>
              </w:rPr>
            </w:pPr>
          </w:p>
        </w:tc>
      </w:tr>
      <w:tr w:rsidR="0095321F" w:rsidTr="003701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cantSplit/>
          <w:trHeight w:val="20"/>
        </w:trPr>
        <w:tc>
          <w:tcPr>
            <w:tcW w:w="921" w:type="dxa"/>
            <w:tcBorders>
              <w:bottom w:val="double" w:sz="4" w:space="0" w:color="auto"/>
            </w:tcBorders>
            <w:vAlign w:val="bottom"/>
          </w:tcPr>
          <w:p w:rsidR="0095321F" w:rsidRPr="000A38AF" w:rsidRDefault="0095321F" w:rsidP="000A38AF">
            <w:pPr>
              <w:spacing w:before="120" w:after="120"/>
              <w:ind w:left="57"/>
              <w:rPr>
                <w:rFonts w:ascii="Arial" w:hAnsi="Arial" w:cs="Arial"/>
                <w:bCs/>
                <w:sz w:val="18"/>
                <w:szCs w:val="18"/>
              </w:rPr>
            </w:pPr>
            <w:r w:rsidRPr="000A38AF">
              <w:rPr>
                <w:rFonts w:ascii="Arial" w:hAnsi="Arial" w:cs="Arial"/>
                <w:bCs/>
                <w:sz w:val="18"/>
                <w:szCs w:val="18"/>
              </w:rPr>
              <w:t>2011 к 2000</w:t>
            </w:r>
          </w:p>
        </w:tc>
        <w:tc>
          <w:tcPr>
            <w:tcW w:w="922" w:type="dxa"/>
            <w:tcBorders>
              <w:bottom w:val="double" w:sz="4" w:space="0" w:color="auto"/>
            </w:tcBorders>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394,5</w:t>
            </w:r>
          </w:p>
        </w:tc>
        <w:tc>
          <w:tcPr>
            <w:tcW w:w="992" w:type="dxa"/>
            <w:tcBorders>
              <w:bottom w:val="double" w:sz="4" w:space="0" w:color="auto"/>
            </w:tcBorders>
            <w:vAlign w:val="bottom"/>
          </w:tcPr>
          <w:p w:rsidR="0095321F" w:rsidRPr="000A38AF" w:rsidRDefault="0095321F" w:rsidP="000A38AF">
            <w:pPr>
              <w:spacing w:before="120" w:after="120"/>
              <w:jc w:val="center"/>
              <w:rPr>
                <w:rFonts w:ascii="Arial" w:hAnsi="Arial" w:cs="Arial"/>
                <w:bCs/>
                <w:sz w:val="18"/>
                <w:szCs w:val="18"/>
              </w:rPr>
            </w:pPr>
            <w:r w:rsidRPr="000A38AF">
              <w:rPr>
                <w:rFonts w:ascii="Arial" w:hAnsi="Arial" w:cs="Arial"/>
                <w:bCs/>
                <w:sz w:val="18"/>
                <w:szCs w:val="18"/>
              </w:rPr>
              <w:t>364,6</w:t>
            </w:r>
          </w:p>
        </w:tc>
        <w:tc>
          <w:tcPr>
            <w:tcW w:w="993" w:type="dxa"/>
            <w:tcBorders>
              <w:bottom w:val="double" w:sz="4" w:space="0" w:color="auto"/>
            </w:tcBorders>
            <w:vAlign w:val="bottom"/>
          </w:tcPr>
          <w:p w:rsidR="0095321F" w:rsidRPr="000A38AF" w:rsidRDefault="0095321F" w:rsidP="000A38AF">
            <w:pPr>
              <w:pStyle w:val="aff"/>
              <w:spacing w:before="120" w:after="120" w:line="240" w:lineRule="auto"/>
              <w:rPr>
                <w:rFonts w:cs="Arial"/>
                <w:bCs/>
                <w:sz w:val="18"/>
                <w:szCs w:val="18"/>
              </w:rPr>
            </w:pPr>
            <w:r w:rsidRPr="000A38AF">
              <w:rPr>
                <w:rFonts w:cs="Arial"/>
                <w:bCs/>
                <w:sz w:val="18"/>
                <w:szCs w:val="18"/>
              </w:rPr>
              <w:t>283,9</w:t>
            </w:r>
          </w:p>
        </w:tc>
        <w:tc>
          <w:tcPr>
            <w:tcW w:w="1134" w:type="dxa"/>
            <w:tcBorders>
              <w:bottom w:val="double" w:sz="4" w:space="0" w:color="auto"/>
            </w:tcBorders>
            <w:vAlign w:val="bottom"/>
          </w:tcPr>
          <w:p w:rsidR="0095321F" w:rsidRPr="000A38AF" w:rsidRDefault="0095321F" w:rsidP="00E82093">
            <w:pPr>
              <w:spacing w:before="120"/>
              <w:jc w:val="center"/>
              <w:rPr>
                <w:rFonts w:ascii="Arial" w:hAnsi="Arial" w:cs="Arial"/>
                <w:bCs/>
                <w:sz w:val="18"/>
                <w:szCs w:val="18"/>
              </w:rPr>
            </w:pPr>
            <w:r w:rsidRPr="000A38AF">
              <w:rPr>
                <w:rFonts w:ascii="Arial" w:hAnsi="Arial" w:cs="Arial"/>
                <w:bCs/>
                <w:sz w:val="18"/>
                <w:szCs w:val="18"/>
              </w:rPr>
              <w:t>347,9</w:t>
            </w:r>
          </w:p>
        </w:tc>
        <w:tc>
          <w:tcPr>
            <w:tcW w:w="9497" w:type="dxa"/>
            <w:vMerge/>
            <w:tcBorders>
              <w:bottom w:val="double" w:sz="4" w:space="0" w:color="auto"/>
              <w:right w:val="double" w:sz="4" w:space="0" w:color="auto"/>
            </w:tcBorders>
            <w:vAlign w:val="bottom"/>
          </w:tcPr>
          <w:p w:rsidR="0095321F" w:rsidRDefault="0095321F" w:rsidP="0037013F">
            <w:pPr>
              <w:spacing w:before="120" w:after="40"/>
              <w:jc w:val="center"/>
              <w:rPr>
                <w:rFonts w:ascii="Arial" w:hAnsi="Arial" w:cs="Arial"/>
                <w:bCs/>
              </w:rPr>
            </w:pPr>
          </w:p>
        </w:tc>
      </w:tr>
    </w:tbl>
    <w:p w:rsidR="0095321F" w:rsidRDefault="00406629" w:rsidP="0095321F">
      <w:pPr>
        <w:ind w:firstLine="720"/>
        <w:jc w:val="both"/>
        <w:rPr>
          <w:bCs/>
        </w:rPr>
      </w:pPr>
      <w:r>
        <w:rPr>
          <w:bCs/>
          <w:noProof/>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1148" type="#_x0000_t104" style="position:absolute;left:0;text-align:left;margin-left:206.35pt;margin-top:2.9pt;width:189pt;height:45pt;z-index:251784192;mso-position-horizontal-relative:text;mso-position-vertical-relative:text" fillcolor="#c6d9f1 [671]" strokecolor="#333">
            <v:fill opacity=".5"/>
          </v:shape>
        </w:pict>
      </w:r>
    </w:p>
    <w:p w:rsidR="0095321F" w:rsidRPr="000A38AF" w:rsidRDefault="000A38AF" w:rsidP="0095321F">
      <w:pPr>
        <w:pStyle w:val="22"/>
        <w:pageBreakBefore/>
        <w:spacing w:line="240" w:lineRule="auto"/>
        <w:ind w:firstLine="0"/>
        <w:jc w:val="center"/>
        <w:rPr>
          <w:b/>
          <w:sz w:val="22"/>
          <w:szCs w:val="22"/>
        </w:rPr>
      </w:pPr>
      <w:r w:rsidRPr="000A38AF">
        <w:rPr>
          <w:b/>
          <w:sz w:val="22"/>
          <w:szCs w:val="22"/>
        </w:rPr>
        <w:lastRenderedPageBreak/>
        <w:t>ПОКУПАТЕЛЬНАЯ СПОСОБНОСТЬ СРЕДНЕДУШЕВЫХ ДЕНЕЖНЫХ ДОХОДОВ</w:t>
      </w:r>
    </w:p>
    <w:p w:rsidR="0095321F" w:rsidRPr="004F302C" w:rsidRDefault="0095321F" w:rsidP="0095321F">
      <w:pPr>
        <w:pStyle w:val="22"/>
        <w:spacing w:line="240" w:lineRule="auto"/>
        <w:jc w:val="center"/>
        <w:rPr>
          <w:b/>
          <w:sz w:val="24"/>
          <w:szCs w:val="24"/>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617"/>
        <w:gridCol w:w="1616"/>
        <w:gridCol w:w="1515"/>
        <w:gridCol w:w="1429"/>
        <w:gridCol w:w="9327"/>
      </w:tblGrid>
      <w:tr w:rsidR="0095321F" w:rsidTr="002B39CD">
        <w:trPr>
          <w:cantSplit/>
        </w:trPr>
        <w:tc>
          <w:tcPr>
            <w:tcW w:w="323" w:type="pct"/>
            <w:shd w:val="clear" w:color="auto" w:fill="C6D9F1" w:themeFill="text2" w:themeFillTint="33"/>
          </w:tcPr>
          <w:p w:rsidR="0095321F" w:rsidRPr="002B39CD" w:rsidRDefault="0095321F" w:rsidP="002B39CD">
            <w:pPr>
              <w:pStyle w:val="22"/>
              <w:spacing w:before="120" w:after="120" w:line="240" w:lineRule="auto"/>
              <w:ind w:firstLine="0"/>
              <w:rPr>
                <w:sz w:val="18"/>
                <w:szCs w:val="18"/>
              </w:rPr>
            </w:pPr>
            <w:r w:rsidRPr="002B39CD">
              <w:rPr>
                <w:sz w:val="18"/>
                <w:szCs w:val="18"/>
              </w:rPr>
              <w:t>Год</w:t>
            </w:r>
          </w:p>
        </w:tc>
        <w:tc>
          <w:tcPr>
            <w:tcW w:w="430" w:type="pct"/>
            <w:shd w:val="clear" w:color="auto" w:fill="C6D9F1" w:themeFill="text2" w:themeFillTint="33"/>
          </w:tcPr>
          <w:p w:rsidR="0095321F" w:rsidRPr="002B39CD" w:rsidRDefault="0095321F" w:rsidP="002B39CD">
            <w:pPr>
              <w:pStyle w:val="22"/>
              <w:spacing w:before="120" w:after="120" w:line="240" w:lineRule="auto"/>
              <w:ind w:firstLine="0"/>
              <w:jc w:val="left"/>
              <w:rPr>
                <w:sz w:val="18"/>
                <w:szCs w:val="18"/>
              </w:rPr>
            </w:pPr>
            <w:r w:rsidRPr="002B39CD">
              <w:rPr>
                <w:sz w:val="18"/>
                <w:szCs w:val="18"/>
              </w:rPr>
              <w:t>Среднедушевые денежные д</w:t>
            </w:r>
            <w:r w:rsidRPr="002B39CD">
              <w:rPr>
                <w:sz w:val="18"/>
                <w:szCs w:val="18"/>
              </w:rPr>
              <w:t>о</w:t>
            </w:r>
            <w:r w:rsidRPr="002B39CD">
              <w:rPr>
                <w:sz w:val="18"/>
                <w:szCs w:val="18"/>
              </w:rPr>
              <w:t>ходы насел</w:t>
            </w:r>
            <w:r w:rsidRPr="002B39CD">
              <w:rPr>
                <w:sz w:val="18"/>
                <w:szCs w:val="18"/>
              </w:rPr>
              <w:t>е</w:t>
            </w:r>
            <w:r w:rsidRPr="002B39CD">
              <w:rPr>
                <w:sz w:val="18"/>
                <w:szCs w:val="18"/>
              </w:rPr>
              <w:t>ния, рублей</w:t>
            </w:r>
          </w:p>
        </w:tc>
        <w:tc>
          <w:tcPr>
            <w:tcW w:w="430" w:type="pct"/>
            <w:shd w:val="clear" w:color="auto" w:fill="C6D9F1" w:themeFill="text2" w:themeFillTint="33"/>
          </w:tcPr>
          <w:p w:rsidR="0095321F" w:rsidRPr="002B39CD" w:rsidRDefault="0095321F" w:rsidP="002B39CD">
            <w:pPr>
              <w:pStyle w:val="22"/>
              <w:spacing w:before="120" w:after="120" w:line="240" w:lineRule="auto"/>
              <w:ind w:firstLine="0"/>
              <w:jc w:val="left"/>
              <w:rPr>
                <w:sz w:val="18"/>
                <w:szCs w:val="18"/>
              </w:rPr>
            </w:pPr>
            <w:r w:rsidRPr="002B39CD">
              <w:rPr>
                <w:sz w:val="18"/>
                <w:szCs w:val="18"/>
              </w:rPr>
              <w:t>Среднегодовая стоимость минимального набора, ру</w:t>
            </w:r>
            <w:r w:rsidRPr="002B39CD">
              <w:rPr>
                <w:sz w:val="18"/>
                <w:szCs w:val="18"/>
              </w:rPr>
              <w:t>б</w:t>
            </w:r>
            <w:r w:rsidRPr="002B39CD">
              <w:rPr>
                <w:sz w:val="18"/>
                <w:szCs w:val="18"/>
              </w:rPr>
              <w:t>лей</w:t>
            </w:r>
          </w:p>
        </w:tc>
        <w:tc>
          <w:tcPr>
            <w:tcW w:w="484" w:type="pct"/>
            <w:shd w:val="clear" w:color="auto" w:fill="C6D9F1" w:themeFill="text2" w:themeFillTint="33"/>
          </w:tcPr>
          <w:p w:rsidR="0095321F" w:rsidRPr="002B39CD" w:rsidRDefault="0095321F" w:rsidP="002B39CD">
            <w:pPr>
              <w:pStyle w:val="22"/>
              <w:spacing w:before="120" w:after="120" w:line="240" w:lineRule="auto"/>
              <w:ind w:firstLine="0"/>
              <w:jc w:val="left"/>
              <w:rPr>
                <w:sz w:val="18"/>
                <w:szCs w:val="18"/>
              </w:rPr>
            </w:pPr>
            <w:r w:rsidRPr="002B39CD">
              <w:rPr>
                <w:sz w:val="18"/>
                <w:szCs w:val="18"/>
              </w:rPr>
              <w:t>Соотношение денежных доходов и стоимости минимального набора</w:t>
            </w:r>
          </w:p>
        </w:tc>
        <w:tc>
          <w:tcPr>
            <w:tcW w:w="3333" w:type="pct"/>
            <w:vMerge w:val="restart"/>
          </w:tcPr>
          <w:p w:rsidR="0095321F" w:rsidRPr="00F2282B" w:rsidRDefault="00406629" w:rsidP="0037013F">
            <w:pPr>
              <w:pStyle w:val="22"/>
              <w:spacing w:before="60" w:after="60"/>
              <w:ind w:firstLine="0"/>
              <w:rPr>
                <w:b/>
                <w:sz w:val="20"/>
              </w:rPr>
            </w:pPr>
            <w:r>
              <w:rPr>
                <w:b/>
                <w:noProof/>
                <w:sz w:val="20"/>
              </w:rPr>
              <w:pict>
                <v:shapetype id="_x0000_t202" coordsize="21600,21600" o:spt="202" path="m,l,21600r21600,l21600,xe">
                  <v:stroke joinstyle="miter"/>
                  <v:path gradientshapeok="t" o:connecttype="rect"/>
                </v:shapetype>
                <v:shape id="_x0000_s1162" type="#_x0000_t202" style="position:absolute;left:0;text-align:left;margin-left:-.75pt;margin-top:7.85pt;width:457.25pt;height:347.25pt;z-index:251788288;mso-position-horizontal-relative:text;mso-position-vertical-relative:text" stroked="f">
                  <v:textbox style="mso-next-textbox:#_x0000_s1162">
                    <w:txbxContent>
                      <w:p w:rsidR="00406629" w:rsidRDefault="00406629" w:rsidP="0095321F">
                        <w:r w:rsidRPr="003E3AB1">
                          <w:rPr>
                            <w:noProof/>
                          </w:rPr>
                          <w:drawing>
                            <wp:inline distT="0" distB="0" distL="0" distR="0">
                              <wp:extent cx="5640779" cy="4322618"/>
                              <wp:effectExtent l="0" t="0" r="0" b="0"/>
                              <wp:docPr id="88" name="Объект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xbxContent>
                  </v:textbox>
                </v:shape>
              </w:pict>
            </w: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2001</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1717</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746</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2,3</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2002</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2379</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854</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2,8</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2003</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3060</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958</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3,2</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2004</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3660</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1045</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3,5</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2005</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4576</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1180</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3,9</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2006</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6137</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1275</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4,8</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2007</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7762</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1404</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5,5</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2008</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9728</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1771</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5,5</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2009</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10763</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1815</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5,9</w:t>
            </w:r>
          </w:p>
        </w:tc>
        <w:tc>
          <w:tcPr>
            <w:tcW w:w="3333" w:type="pct"/>
            <w:vMerge/>
          </w:tcPr>
          <w:p w:rsidR="0095321F" w:rsidRDefault="0095321F" w:rsidP="0037013F">
            <w:pPr>
              <w:pStyle w:val="22"/>
              <w:spacing w:before="40" w:after="40"/>
              <w:ind w:firstLine="0"/>
              <w:rPr>
                <w:sz w:val="20"/>
              </w:rPr>
            </w:pPr>
          </w:p>
        </w:tc>
      </w:tr>
      <w:tr w:rsidR="0095321F" w:rsidTr="002B39CD">
        <w:trPr>
          <w:cantSplit/>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2010</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12907</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2062</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6,3</w:t>
            </w:r>
          </w:p>
        </w:tc>
        <w:tc>
          <w:tcPr>
            <w:tcW w:w="3333" w:type="pct"/>
            <w:vMerge/>
          </w:tcPr>
          <w:p w:rsidR="0095321F" w:rsidRDefault="0095321F" w:rsidP="0037013F">
            <w:pPr>
              <w:pStyle w:val="22"/>
              <w:spacing w:before="40" w:after="40"/>
              <w:ind w:firstLine="0"/>
              <w:rPr>
                <w:sz w:val="20"/>
              </w:rPr>
            </w:pPr>
          </w:p>
        </w:tc>
      </w:tr>
      <w:tr w:rsidR="0095321F" w:rsidTr="002B39CD">
        <w:trPr>
          <w:cantSplit/>
          <w:trHeight w:val="150"/>
        </w:trPr>
        <w:tc>
          <w:tcPr>
            <w:tcW w:w="323" w:type="pct"/>
          </w:tcPr>
          <w:p w:rsidR="0095321F" w:rsidRPr="002B39CD" w:rsidRDefault="0095321F" w:rsidP="002B39CD">
            <w:pPr>
              <w:pStyle w:val="22"/>
              <w:spacing w:before="120" w:after="120" w:line="240" w:lineRule="auto"/>
              <w:ind w:firstLine="0"/>
              <w:rPr>
                <w:sz w:val="18"/>
                <w:szCs w:val="18"/>
              </w:rPr>
            </w:pPr>
            <w:r w:rsidRPr="002B39CD">
              <w:rPr>
                <w:sz w:val="18"/>
                <w:szCs w:val="18"/>
              </w:rPr>
              <w:t>2011</w:t>
            </w:r>
          </w:p>
        </w:tc>
        <w:tc>
          <w:tcPr>
            <w:tcW w:w="430" w:type="pct"/>
          </w:tcPr>
          <w:p w:rsidR="0095321F" w:rsidRPr="002B39CD" w:rsidRDefault="0095321F" w:rsidP="002B39CD">
            <w:pPr>
              <w:pStyle w:val="22"/>
              <w:tabs>
                <w:tab w:val="decimal" w:pos="743"/>
              </w:tabs>
              <w:spacing w:before="120" w:after="120" w:line="240" w:lineRule="auto"/>
              <w:ind w:firstLine="0"/>
              <w:jc w:val="center"/>
              <w:rPr>
                <w:sz w:val="18"/>
                <w:szCs w:val="18"/>
              </w:rPr>
            </w:pPr>
            <w:r w:rsidRPr="002B39CD">
              <w:rPr>
                <w:sz w:val="18"/>
                <w:szCs w:val="18"/>
              </w:rPr>
              <w:t>14137</w:t>
            </w:r>
            <w:r w:rsidR="002B39CD">
              <w:rPr>
                <w:sz w:val="18"/>
                <w:szCs w:val="18"/>
                <w:vertAlign w:val="superscript"/>
              </w:rPr>
              <w:t>1)</w:t>
            </w:r>
          </w:p>
        </w:tc>
        <w:tc>
          <w:tcPr>
            <w:tcW w:w="430" w:type="pct"/>
          </w:tcPr>
          <w:p w:rsidR="0095321F" w:rsidRPr="002B39CD" w:rsidRDefault="0095321F" w:rsidP="002B39CD">
            <w:pPr>
              <w:pStyle w:val="22"/>
              <w:tabs>
                <w:tab w:val="decimal" w:pos="601"/>
              </w:tabs>
              <w:spacing w:before="120" w:after="120" w:line="240" w:lineRule="auto"/>
              <w:ind w:right="176" w:firstLine="0"/>
              <w:jc w:val="center"/>
              <w:rPr>
                <w:sz w:val="18"/>
                <w:szCs w:val="18"/>
              </w:rPr>
            </w:pPr>
            <w:r w:rsidRPr="002B39CD">
              <w:rPr>
                <w:sz w:val="18"/>
                <w:szCs w:val="18"/>
              </w:rPr>
              <w:t>2375</w:t>
            </w:r>
          </w:p>
        </w:tc>
        <w:tc>
          <w:tcPr>
            <w:tcW w:w="484" w:type="pct"/>
          </w:tcPr>
          <w:p w:rsidR="0095321F" w:rsidRPr="002B39CD" w:rsidRDefault="0095321F" w:rsidP="002B39CD">
            <w:pPr>
              <w:pStyle w:val="22"/>
              <w:spacing w:before="120" w:after="120" w:line="240" w:lineRule="auto"/>
              <w:ind w:firstLine="0"/>
              <w:jc w:val="center"/>
              <w:rPr>
                <w:sz w:val="18"/>
                <w:szCs w:val="18"/>
              </w:rPr>
            </w:pPr>
            <w:r w:rsidRPr="002B39CD">
              <w:rPr>
                <w:sz w:val="18"/>
                <w:szCs w:val="18"/>
              </w:rPr>
              <w:t>6,0</w:t>
            </w:r>
          </w:p>
        </w:tc>
        <w:tc>
          <w:tcPr>
            <w:tcW w:w="3333" w:type="pct"/>
            <w:vMerge/>
          </w:tcPr>
          <w:p w:rsidR="0095321F" w:rsidRDefault="0095321F" w:rsidP="0037013F">
            <w:pPr>
              <w:pStyle w:val="22"/>
              <w:spacing w:before="40" w:after="40"/>
              <w:ind w:firstLine="0"/>
              <w:rPr>
                <w:sz w:val="20"/>
              </w:rPr>
            </w:pPr>
          </w:p>
        </w:tc>
      </w:tr>
      <w:tr w:rsidR="0095321F" w:rsidTr="002B39CD">
        <w:trPr>
          <w:cantSplit/>
          <w:trHeight w:val="504"/>
        </w:trPr>
        <w:tc>
          <w:tcPr>
            <w:tcW w:w="1667" w:type="pct"/>
            <w:gridSpan w:val="4"/>
          </w:tcPr>
          <w:p w:rsidR="0095321F" w:rsidRPr="002B39CD" w:rsidRDefault="002B39CD" w:rsidP="002B39CD">
            <w:pPr>
              <w:pStyle w:val="22"/>
              <w:spacing w:before="120" w:after="120"/>
              <w:ind w:firstLine="0"/>
              <w:jc w:val="left"/>
              <w:rPr>
                <w:sz w:val="18"/>
                <w:szCs w:val="18"/>
              </w:rPr>
            </w:pPr>
            <w:r>
              <w:rPr>
                <w:sz w:val="18"/>
                <w:szCs w:val="18"/>
                <w:vertAlign w:val="superscript"/>
              </w:rPr>
              <w:t>1)</w:t>
            </w:r>
            <w:r w:rsidRPr="002B39CD">
              <w:rPr>
                <w:sz w:val="18"/>
                <w:szCs w:val="18"/>
              </w:rPr>
              <w:t xml:space="preserve">Данные </w:t>
            </w:r>
            <w:r w:rsidR="0095321F" w:rsidRPr="002B39CD">
              <w:rPr>
                <w:sz w:val="18"/>
                <w:szCs w:val="18"/>
              </w:rPr>
              <w:t>не утверждены Росстатом</w:t>
            </w:r>
          </w:p>
        </w:tc>
        <w:tc>
          <w:tcPr>
            <w:tcW w:w="3333" w:type="pct"/>
            <w:vMerge/>
          </w:tcPr>
          <w:p w:rsidR="0095321F" w:rsidRDefault="0095321F" w:rsidP="0037013F">
            <w:pPr>
              <w:pStyle w:val="22"/>
              <w:spacing w:before="40" w:after="40"/>
              <w:ind w:firstLine="0"/>
              <w:rPr>
                <w:sz w:val="20"/>
              </w:rPr>
            </w:pPr>
          </w:p>
        </w:tc>
      </w:tr>
    </w:tbl>
    <w:p w:rsidR="0095321F" w:rsidRDefault="00406629" w:rsidP="0095321F">
      <w:pPr>
        <w:pStyle w:val="22"/>
        <w:rPr>
          <w:szCs w:val="28"/>
        </w:rPr>
      </w:pPr>
      <w:r>
        <w:rPr>
          <w:noProof/>
          <w:sz w:val="28"/>
          <w:szCs w:val="28"/>
        </w:rPr>
        <w:pict>
          <v:shape id="_x0000_s1163" type="#_x0000_t104" style="position:absolute;left:0;text-align:left;margin-left:183.05pt;margin-top:8.15pt;width:221.25pt;height:44.25pt;z-index:251791360;mso-position-horizontal-relative:text;mso-position-vertical-relative:text" fillcolor="#c6d9f1 [671]" strokecolor="#333">
            <v:fill opacity=".5"/>
          </v:shape>
        </w:pict>
      </w:r>
    </w:p>
    <w:p w:rsidR="0095321F" w:rsidRDefault="0095321F" w:rsidP="0095321F">
      <w:pPr>
        <w:pStyle w:val="22"/>
        <w:suppressLineNumbers w:val="0"/>
        <w:spacing w:line="240" w:lineRule="auto"/>
        <w:rPr>
          <w:sz w:val="28"/>
          <w:szCs w:val="28"/>
        </w:rPr>
      </w:pPr>
    </w:p>
    <w:p w:rsidR="0095321F" w:rsidRPr="00552C45" w:rsidRDefault="000A38AF" w:rsidP="000A38AF">
      <w:pPr>
        <w:pStyle w:val="22"/>
        <w:pageBreakBefore/>
        <w:spacing w:line="240" w:lineRule="auto"/>
        <w:ind w:firstLine="0"/>
        <w:jc w:val="center"/>
        <w:rPr>
          <w:rFonts w:cs="Arial"/>
          <w:b/>
          <w:sz w:val="24"/>
          <w:szCs w:val="24"/>
        </w:rPr>
      </w:pPr>
      <w:r w:rsidRPr="000A38AF">
        <w:rPr>
          <w:b/>
          <w:sz w:val="22"/>
          <w:szCs w:val="22"/>
        </w:rPr>
        <w:lastRenderedPageBreak/>
        <w:t>ТЕМПЫ РОСТА ПОТРЕБИТЕЛЬСКИХ ЦЕН НА ТОВАРЫ И УСЛУГИ И СРЕДНЕДУШЕВОГО ДЕНЕЖНОГО ДОХОДА НАСЕЛЕНИЯ</w:t>
      </w:r>
    </w:p>
    <w:p w:rsidR="0095321F" w:rsidRPr="00552C45" w:rsidRDefault="0095321F" w:rsidP="0095321F">
      <w:pPr>
        <w:keepNext/>
        <w:spacing w:after="120"/>
        <w:jc w:val="center"/>
        <w:rPr>
          <w:rFonts w:ascii="Arial" w:hAnsi="Arial" w:cs="Arial"/>
          <w:sz w:val="24"/>
          <w:szCs w:val="24"/>
        </w:rPr>
      </w:pPr>
      <w:r w:rsidRPr="000A38AF">
        <w:rPr>
          <w:rFonts w:ascii="Arial" w:hAnsi="Arial" w:cs="Arial"/>
          <w:sz w:val="22"/>
          <w:szCs w:val="22"/>
        </w:rPr>
        <w:t>(</w:t>
      </w:r>
      <w:proofErr w:type="gramStart"/>
      <w:r w:rsidRPr="000A38AF">
        <w:rPr>
          <w:rFonts w:ascii="Arial" w:hAnsi="Arial" w:cs="Arial"/>
          <w:sz w:val="22"/>
          <w:szCs w:val="22"/>
        </w:rPr>
        <w:t>в</w:t>
      </w:r>
      <w:proofErr w:type="gramEnd"/>
      <w:r w:rsidRPr="000A38AF">
        <w:rPr>
          <w:rFonts w:ascii="Arial" w:hAnsi="Arial" w:cs="Arial"/>
          <w:sz w:val="22"/>
          <w:szCs w:val="22"/>
        </w:rPr>
        <w:t xml:space="preserve"> % </w:t>
      </w:r>
      <w:proofErr w:type="gramStart"/>
      <w:r w:rsidRPr="000A38AF">
        <w:rPr>
          <w:rFonts w:ascii="Arial" w:hAnsi="Arial" w:cs="Arial"/>
          <w:sz w:val="22"/>
          <w:szCs w:val="22"/>
        </w:rPr>
        <w:t>к</w:t>
      </w:r>
      <w:proofErr w:type="gramEnd"/>
      <w:r w:rsidRPr="000A38AF">
        <w:rPr>
          <w:rFonts w:ascii="Arial" w:hAnsi="Arial" w:cs="Arial"/>
          <w:sz w:val="22"/>
          <w:szCs w:val="22"/>
        </w:rPr>
        <w:t xml:space="preserve"> предыдущему году</w:t>
      </w:r>
      <w:r w:rsidRPr="00552C45">
        <w:rPr>
          <w:rFonts w:ascii="Arial" w:hAnsi="Arial" w:cs="Arial"/>
          <w:sz w:val="24"/>
          <w:szCs w:val="24"/>
        </w:rPr>
        <w:t>)</w:t>
      </w:r>
    </w:p>
    <w:tbl>
      <w:tblPr>
        <w:tblW w:w="1428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817"/>
        <w:gridCol w:w="1276"/>
        <w:gridCol w:w="1417"/>
        <w:gridCol w:w="10773"/>
      </w:tblGrid>
      <w:tr w:rsidR="0095321F" w:rsidTr="0037013F">
        <w:trPr>
          <w:cantSplit/>
        </w:trPr>
        <w:tc>
          <w:tcPr>
            <w:tcW w:w="817" w:type="dxa"/>
            <w:shd w:val="clear" w:color="auto" w:fill="C6D9F1" w:themeFill="text2" w:themeFillTint="33"/>
          </w:tcPr>
          <w:p w:rsidR="0095321F" w:rsidRPr="002B39CD" w:rsidRDefault="0095321F" w:rsidP="002B39CD">
            <w:pPr>
              <w:pStyle w:val="4"/>
              <w:spacing w:before="60" w:after="60"/>
              <w:rPr>
                <w:rFonts w:cs="Arial"/>
                <w:b w:val="0"/>
                <w:szCs w:val="18"/>
              </w:rPr>
            </w:pPr>
            <w:r w:rsidRPr="002B39CD">
              <w:rPr>
                <w:rFonts w:cs="Arial"/>
                <w:b w:val="0"/>
                <w:szCs w:val="18"/>
              </w:rPr>
              <w:t>Год</w:t>
            </w:r>
          </w:p>
        </w:tc>
        <w:tc>
          <w:tcPr>
            <w:tcW w:w="1276" w:type="dxa"/>
            <w:shd w:val="clear" w:color="auto" w:fill="C6D9F1" w:themeFill="text2" w:themeFillTint="33"/>
          </w:tcPr>
          <w:p w:rsidR="0095321F" w:rsidRPr="002B39CD" w:rsidRDefault="0095321F" w:rsidP="002B39CD">
            <w:pPr>
              <w:spacing w:before="60" w:after="60"/>
              <w:ind w:right="113"/>
              <w:jc w:val="both"/>
              <w:rPr>
                <w:rFonts w:ascii="Arial" w:hAnsi="Arial" w:cs="Arial"/>
                <w:sz w:val="18"/>
                <w:szCs w:val="18"/>
              </w:rPr>
            </w:pPr>
            <w:r w:rsidRPr="002B39CD">
              <w:rPr>
                <w:rFonts w:ascii="Arial" w:hAnsi="Arial" w:cs="Arial"/>
                <w:bCs/>
                <w:sz w:val="18"/>
                <w:szCs w:val="18"/>
              </w:rPr>
              <w:t>Индекс потреб</w:t>
            </w:r>
            <w:r w:rsidRPr="002B39CD">
              <w:rPr>
                <w:rFonts w:ascii="Arial" w:hAnsi="Arial" w:cs="Arial"/>
                <w:bCs/>
                <w:sz w:val="18"/>
                <w:szCs w:val="18"/>
              </w:rPr>
              <w:t>и</w:t>
            </w:r>
            <w:r w:rsidRPr="002B39CD">
              <w:rPr>
                <w:rFonts w:ascii="Arial" w:hAnsi="Arial" w:cs="Arial"/>
                <w:bCs/>
                <w:sz w:val="18"/>
                <w:szCs w:val="18"/>
              </w:rPr>
              <w:t>тельских цен на товары и услуги</w:t>
            </w:r>
          </w:p>
        </w:tc>
        <w:tc>
          <w:tcPr>
            <w:tcW w:w="1417" w:type="dxa"/>
            <w:shd w:val="clear" w:color="auto" w:fill="C6D9F1" w:themeFill="text2" w:themeFillTint="33"/>
          </w:tcPr>
          <w:p w:rsidR="0095321F" w:rsidRPr="002B39CD" w:rsidRDefault="0095321F" w:rsidP="002B39CD">
            <w:pPr>
              <w:spacing w:before="60" w:after="60"/>
              <w:ind w:right="113"/>
              <w:jc w:val="both"/>
              <w:rPr>
                <w:rFonts w:ascii="Arial" w:hAnsi="Arial" w:cs="Arial"/>
                <w:sz w:val="18"/>
                <w:szCs w:val="18"/>
              </w:rPr>
            </w:pPr>
            <w:r w:rsidRPr="002B39CD">
              <w:rPr>
                <w:rFonts w:ascii="Arial" w:hAnsi="Arial" w:cs="Arial"/>
                <w:sz w:val="18"/>
                <w:szCs w:val="18"/>
              </w:rPr>
              <w:t>Среднед</w:t>
            </w:r>
            <w:r w:rsidRPr="002B39CD">
              <w:rPr>
                <w:rFonts w:ascii="Arial" w:hAnsi="Arial" w:cs="Arial"/>
                <w:sz w:val="18"/>
                <w:szCs w:val="18"/>
              </w:rPr>
              <w:t>у</w:t>
            </w:r>
            <w:r w:rsidRPr="002B39CD">
              <w:rPr>
                <w:rFonts w:ascii="Arial" w:hAnsi="Arial" w:cs="Arial"/>
                <w:sz w:val="18"/>
                <w:szCs w:val="18"/>
              </w:rPr>
              <w:t>шевые д</w:t>
            </w:r>
            <w:r w:rsidRPr="002B39CD">
              <w:rPr>
                <w:rFonts w:ascii="Arial" w:hAnsi="Arial" w:cs="Arial"/>
                <w:sz w:val="18"/>
                <w:szCs w:val="18"/>
              </w:rPr>
              <w:t>е</w:t>
            </w:r>
            <w:r w:rsidRPr="002B39CD">
              <w:rPr>
                <w:rFonts w:ascii="Arial" w:hAnsi="Arial" w:cs="Arial"/>
                <w:sz w:val="18"/>
                <w:szCs w:val="18"/>
              </w:rPr>
              <w:t xml:space="preserve">нежные доходы населения </w:t>
            </w:r>
          </w:p>
        </w:tc>
        <w:tc>
          <w:tcPr>
            <w:tcW w:w="10773" w:type="dxa"/>
            <w:vMerge w:val="restart"/>
          </w:tcPr>
          <w:p w:rsidR="0095321F" w:rsidRDefault="0095321F" w:rsidP="0037013F">
            <w:pPr>
              <w:ind w:right="57"/>
              <w:jc w:val="both"/>
              <w:rPr>
                <w:sz w:val="24"/>
              </w:rPr>
            </w:pPr>
            <w:r>
              <w:rPr>
                <w:noProof/>
                <w:sz w:val="28"/>
              </w:rPr>
              <w:drawing>
                <wp:inline distT="0" distB="0" distL="0" distR="0">
                  <wp:extent cx="6862812" cy="5563402"/>
                  <wp:effectExtent l="0" t="0" r="0" b="0"/>
                  <wp:docPr id="97"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1991</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196,8</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216,1</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1992</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1506,1</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724,0</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1993</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881,2</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1253,9</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1994</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356,1</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398,7</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1995</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282,7</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212,5</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1996</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151,5</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162,7</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1997</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125,2</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124,0</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1998</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122,8</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106,1</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1999</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182,2</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147,5</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2000</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123,7</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127,8</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2001</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132,5</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134,5</w:t>
            </w:r>
          </w:p>
        </w:tc>
        <w:tc>
          <w:tcPr>
            <w:tcW w:w="10773" w:type="dxa"/>
            <w:vMerge/>
          </w:tcPr>
          <w:p w:rsidR="0095321F" w:rsidRDefault="0095321F" w:rsidP="0037013F">
            <w:pPr>
              <w:tabs>
                <w:tab w:val="decimal" w:pos="601"/>
              </w:tabs>
              <w:rPr>
                <w:sz w:val="24"/>
              </w:rPr>
            </w:pPr>
          </w:p>
        </w:tc>
      </w:tr>
      <w:tr w:rsidR="0095321F" w:rsidTr="0037013F">
        <w:trPr>
          <w:cantSplit/>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2002</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117,6</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138,5</w:t>
            </w:r>
          </w:p>
        </w:tc>
        <w:tc>
          <w:tcPr>
            <w:tcW w:w="10773" w:type="dxa"/>
            <w:vMerge/>
          </w:tcPr>
          <w:p w:rsidR="0095321F" w:rsidRDefault="0095321F" w:rsidP="0037013F">
            <w:pPr>
              <w:tabs>
                <w:tab w:val="decimal" w:pos="601"/>
              </w:tabs>
              <w:rPr>
                <w:sz w:val="24"/>
              </w:rPr>
            </w:pPr>
          </w:p>
        </w:tc>
      </w:tr>
      <w:tr w:rsidR="0095321F" w:rsidTr="0037013F">
        <w:trPr>
          <w:cantSplit/>
          <w:trHeight w:val="125"/>
        </w:trPr>
        <w:tc>
          <w:tcPr>
            <w:tcW w:w="817" w:type="dxa"/>
          </w:tcPr>
          <w:p w:rsidR="0095321F" w:rsidRPr="002B39CD" w:rsidRDefault="0095321F" w:rsidP="002B39CD">
            <w:pPr>
              <w:spacing w:before="60" w:after="60"/>
              <w:jc w:val="center"/>
              <w:rPr>
                <w:rFonts w:ascii="Arial" w:hAnsi="Arial" w:cs="Arial"/>
                <w:sz w:val="18"/>
                <w:szCs w:val="18"/>
              </w:rPr>
            </w:pPr>
            <w:r w:rsidRPr="002B39CD">
              <w:rPr>
                <w:rFonts w:ascii="Arial" w:hAnsi="Arial" w:cs="Arial"/>
                <w:sz w:val="18"/>
                <w:szCs w:val="18"/>
              </w:rPr>
              <w:t>2003</w:t>
            </w:r>
          </w:p>
        </w:tc>
        <w:tc>
          <w:tcPr>
            <w:tcW w:w="1276" w:type="dxa"/>
          </w:tcPr>
          <w:p w:rsidR="0095321F" w:rsidRPr="002B39CD" w:rsidRDefault="0095321F" w:rsidP="002B39CD">
            <w:pPr>
              <w:tabs>
                <w:tab w:val="decimal" w:pos="567"/>
              </w:tabs>
              <w:spacing w:before="60" w:after="60"/>
              <w:rPr>
                <w:rFonts w:ascii="Arial" w:hAnsi="Arial" w:cs="Arial"/>
                <w:sz w:val="18"/>
                <w:szCs w:val="18"/>
              </w:rPr>
            </w:pPr>
            <w:r w:rsidRPr="002B39CD">
              <w:rPr>
                <w:rFonts w:ascii="Arial" w:hAnsi="Arial" w:cs="Arial"/>
                <w:sz w:val="18"/>
                <w:szCs w:val="18"/>
              </w:rPr>
              <w:t>115,0</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128,6</w:t>
            </w:r>
          </w:p>
        </w:tc>
        <w:tc>
          <w:tcPr>
            <w:tcW w:w="10773" w:type="dxa"/>
            <w:vMerge/>
          </w:tcPr>
          <w:p w:rsidR="0095321F" w:rsidRDefault="0095321F" w:rsidP="0037013F">
            <w:pPr>
              <w:tabs>
                <w:tab w:val="decimal" w:pos="601"/>
              </w:tabs>
              <w:rPr>
                <w:sz w:val="24"/>
              </w:rPr>
            </w:pPr>
          </w:p>
        </w:tc>
      </w:tr>
      <w:tr w:rsidR="0095321F" w:rsidTr="0037013F">
        <w:trPr>
          <w:cantSplit/>
          <w:trHeight w:val="125"/>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2004</w:t>
            </w:r>
          </w:p>
        </w:tc>
        <w:tc>
          <w:tcPr>
            <w:tcW w:w="1276"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114,7</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119,6</w:t>
            </w:r>
          </w:p>
        </w:tc>
        <w:tc>
          <w:tcPr>
            <w:tcW w:w="10773" w:type="dxa"/>
            <w:vMerge/>
          </w:tcPr>
          <w:p w:rsidR="0095321F" w:rsidRDefault="0095321F" w:rsidP="0037013F">
            <w:pPr>
              <w:tabs>
                <w:tab w:val="decimal" w:pos="601"/>
              </w:tabs>
              <w:rPr>
                <w:sz w:val="24"/>
              </w:rPr>
            </w:pPr>
          </w:p>
        </w:tc>
      </w:tr>
      <w:tr w:rsidR="0095321F" w:rsidTr="0037013F">
        <w:trPr>
          <w:cantSplit/>
          <w:trHeight w:val="95"/>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2005</w:t>
            </w:r>
          </w:p>
        </w:tc>
        <w:tc>
          <w:tcPr>
            <w:tcW w:w="1276"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113,8</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125,0</w:t>
            </w:r>
          </w:p>
        </w:tc>
        <w:tc>
          <w:tcPr>
            <w:tcW w:w="10773" w:type="dxa"/>
            <w:vMerge/>
          </w:tcPr>
          <w:p w:rsidR="0095321F" w:rsidRDefault="0095321F" w:rsidP="0037013F">
            <w:pPr>
              <w:tabs>
                <w:tab w:val="decimal" w:pos="601"/>
              </w:tabs>
              <w:rPr>
                <w:sz w:val="24"/>
              </w:rPr>
            </w:pPr>
          </w:p>
        </w:tc>
      </w:tr>
      <w:tr w:rsidR="0095321F" w:rsidTr="0037013F">
        <w:trPr>
          <w:cantSplit/>
          <w:trHeight w:val="95"/>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2006</w:t>
            </w:r>
          </w:p>
        </w:tc>
        <w:tc>
          <w:tcPr>
            <w:tcW w:w="1276"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110,4</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134,1</w:t>
            </w:r>
          </w:p>
        </w:tc>
        <w:tc>
          <w:tcPr>
            <w:tcW w:w="10773" w:type="dxa"/>
            <w:vMerge/>
          </w:tcPr>
          <w:p w:rsidR="0095321F" w:rsidRDefault="0095321F" w:rsidP="0037013F">
            <w:pPr>
              <w:tabs>
                <w:tab w:val="decimal" w:pos="601"/>
              </w:tabs>
              <w:rPr>
                <w:sz w:val="24"/>
              </w:rPr>
            </w:pPr>
          </w:p>
        </w:tc>
      </w:tr>
      <w:tr w:rsidR="0095321F" w:rsidTr="0037013F">
        <w:trPr>
          <w:cantSplit/>
          <w:trHeight w:val="301"/>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2007</w:t>
            </w:r>
          </w:p>
        </w:tc>
        <w:tc>
          <w:tcPr>
            <w:tcW w:w="1276"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109,4</w:t>
            </w:r>
          </w:p>
        </w:tc>
        <w:tc>
          <w:tcPr>
            <w:tcW w:w="1417" w:type="dxa"/>
          </w:tcPr>
          <w:p w:rsidR="0095321F" w:rsidRPr="002B39CD" w:rsidRDefault="0095321F" w:rsidP="002B39CD">
            <w:pPr>
              <w:tabs>
                <w:tab w:val="decimal" w:pos="535"/>
              </w:tabs>
              <w:spacing w:before="60" w:after="60"/>
              <w:rPr>
                <w:rFonts w:ascii="Arial" w:hAnsi="Arial" w:cs="Arial"/>
                <w:sz w:val="18"/>
                <w:szCs w:val="18"/>
              </w:rPr>
            </w:pPr>
            <w:r w:rsidRPr="002B39CD">
              <w:rPr>
                <w:rFonts w:ascii="Arial" w:hAnsi="Arial" w:cs="Arial"/>
                <w:sz w:val="18"/>
                <w:szCs w:val="18"/>
              </w:rPr>
              <w:t>126,5</w:t>
            </w:r>
          </w:p>
        </w:tc>
        <w:tc>
          <w:tcPr>
            <w:tcW w:w="10773" w:type="dxa"/>
            <w:vMerge/>
          </w:tcPr>
          <w:p w:rsidR="0095321F" w:rsidRDefault="0095321F" w:rsidP="0037013F">
            <w:pPr>
              <w:tabs>
                <w:tab w:val="decimal" w:pos="601"/>
              </w:tabs>
              <w:rPr>
                <w:sz w:val="24"/>
              </w:rPr>
            </w:pPr>
          </w:p>
        </w:tc>
      </w:tr>
      <w:tr w:rsidR="0095321F" w:rsidTr="0037013F">
        <w:trPr>
          <w:cantSplit/>
          <w:trHeight w:val="277"/>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2008</w:t>
            </w:r>
          </w:p>
        </w:tc>
        <w:tc>
          <w:tcPr>
            <w:tcW w:w="1276"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116,2</w:t>
            </w:r>
          </w:p>
        </w:tc>
        <w:tc>
          <w:tcPr>
            <w:tcW w:w="14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125,3</w:t>
            </w:r>
          </w:p>
        </w:tc>
        <w:tc>
          <w:tcPr>
            <w:tcW w:w="10773" w:type="dxa"/>
            <w:vMerge/>
          </w:tcPr>
          <w:p w:rsidR="0095321F" w:rsidRDefault="0095321F" w:rsidP="0037013F">
            <w:pPr>
              <w:tabs>
                <w:tab w:val="decimal" w:pos="601"/>
              </w:tabs>
              <w:rPr>
                <w:sz w:val="24"/>
              </w:rPr>
            </w:pPr>
          </w:p>
        </w:tc>
      </w:tr>
      <w:tr w:rsidR="0095321F" w:rsidTr="0037013F">
        <w:trPr>
          <w:cantSplit/>
          <w:trHeight w:val="267"/>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2009</w:t>
            </w:r>
          </w:p>
        </w:tc>
        <w:tc>
          <w:tcPr>
            <w:tcW w:w="1276"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110,5</w:t>
            </w:r>
          </w:p>
        </w:tc>
        <w:tc>
          <w:tcPr>
            <w:tcW w:w="14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110,6</w:t>
            </w:r>
          </w:p>
        </w:tc>
        <w:tc>
          <w:tcPr>
            <w:tcW w:w="10773" w:type="dxa"/>
            <w:vMerge/>
          </w:tcPr>
          <w:p w:rsidR="0095321F" w:rsidRDefault="0095321F" w:rsidP="0037013F">
            <w:pPr>
              <w:tabs>
                <w:tab w:val="decimal" w:pos="601"/>
              </w:tabs>
              <w:rPr>
                <w:sz w:val="24"/>
              </w:rPr>
            </w:pPr>
          </w:p>
        </w:tc>
      </w:tr>
      <w:tr w:rsidR="0095321F" w:rsidTr="0037013F">
        <w:trPr>
          <w:cantSplit/>
          <w:trHeight w:val="272"/>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2010</w:t>
            </w:r>
          </w:p>
        </w:tc>
        <w:tc>
          <w:tcPr>
            <w:tcW w:w="1276"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107,4</w:t>
            </w:r>
          </w:p>
        </w:tc>
        <w:tc>
          <w:tcPr>
            <w:tcW w:w="14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119,9</w:t>
            </w:r>
          </w:p>
        </w:tc>
        <w:tc>
          <w:tcPr>
            <w:tcW w:w="10773" w:type="dxa"/>
            <w:vMerge/>
          </w:tcPr>
          <w:p w:rsidR="0095321F" w:rsidRDefault="0095321F" w:rsidP="0037013F">
            <w:pPr>
              <w:tabs>
                <w:tab w:val="decimal" w:pos="601"/>
              </w:tabs>
              <w:rPr>
                <w:sz w:val="24"/>
              </w:rPr>
            </w:pPr>
          </w:p>
        </w:tc>
      </w:tr>
      <w:tr w:rsidR="0095321F" w:rsidTr="0037013F">
        <w:trPr>
          <w:cantSplit/>
          <w:trHeight w:val="275"/>
        </w:trPr>
        <w:tc>
          <w:tcPr>
            <w:tcW w:w="8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2011</w:t>
            </w:r>
          </w:p>
        </w:tc>
        <w:tc>
          <w:tcPr>
            <w:tcW w:w="1276"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109,8</w:t>
            </w:r>
          </w:p>
        </w:tc>
        <w:tc>
          <w:tcPr>
            <w:tcW w:w="1417" w:type="dxa"/>
          </w:tcPr>
          <w:p w:rsidR="0095321F" w:rsidRPr="002B39CD" w:rsidRDefault="0095321F" w:rsidP="002B39CD">
            <w:pPr>
              <w:tabs>
                <w:tab w:val="decimal" w:pos="535"/>
              </w:tabs>
              <w:spacing w:before="60" w:after="60"/>
              <w:rPr>
                <w:rFonts w:ascii="Arial" w:hAnsi="Arial" w:cs="Arial"/>
                <w:bCs/>
                <w:sz w:val="18"/>
                <w:szCs w:val="18"/>
              </w:rPr>
            </w:pPr>
            <w:r w:rsidRPr="002B39CD">
              <w:rPr>
                <w:rFonts w:ascii="Arial" w:hAnsi="Arial" w:cs="Arial"/>
                <w:bCs/>
                <w:sz w:val="18"/>
                <w:szCs w:val="18"/>
              </w:rPr>
              <w:t>109,5</w:t>
            </w:r>
          </w:p>
        </w:tc>
        <w:tc>
          <w:tcPr>
            <w:tcW w:w="10773" w:type="dxa"/>
            <w:vMerge/>
          </w:tcPr>
          <w:p w:rsidR="0095321F" w:rsidRDefault="0095321F" w:rsidP="0037013F">
            <w:pPr>
              <w:tabs>
                <w:tab w:val="decimal" w:pos="601"/>
              </w:tabs>
              <w:rPr>
                <w:sz w:val="24"/>
              </w:rPr>
            </w:pPr>
          </w:p>
        </w:tc>
      </w:tr>
    </w:tbl>
    <w:p w:rsidR="0095321F" w:rsidRPr="00C068FE" w:rsidRDefault="00C068FE" w:rsidP="0095321F">
      <w:pPr>
        <w:keepNext/>
        <w:pageBreakBefore/>
        <w:jc w:val="center"/>
        <w:rPr>
          <w:rFonts w:ascii="Arial" w:hAnsi="Arial" w:cs="Arial"/>
          <w:b/>
          <w:iCs/>
          <w:sz w:val="22"/>
          <w:szCs w:val="22"/>
        </w:rPr>
      </w:pPr>
      <w:r w:rsidRPr="00C068FE">
        <w:rPr>
          <w:rFonts w:ascii="Arial" w:hAnsi="Arial" w:cs="Arial"/>
          <w:b/>
          <w:sz w:val="22"/>
          <w:szCs w:val="22"/>
        </w:rPr>
        <w:lastRenderedPageBreak/>
        <w:t xml:space="preserve">ИНДЕКСЫ ЦЕН ПРОИЗВОДИТЕЛЕЙ НА РЕАЛИЗОВАННУЮ СЕЛЬСКОХОЗЯЙСТВЕННЫМИ ОРГАНИЗАЦИЯМИ ПРОДУКЦИЮ </w:t>
      </w:r>
      <w:r w:rsidRPr="00C068FE">
        <w:rPr>
          <w:rFonts w:ascii="Arial" w:hAnsi="Arial" w:cs="Arial"/>
          <w:b/>
          <w:sz w:val="22"/>
          <w:szCs w:val="22"/>
        </w:rPr>
        <w:br/>
        <w:t>И ПРИОБРЕТЕННУЮ ИМИ ПРОМЫШЛЕННУЮ ПРОДУКЦИЮ И УСЛУГИ</w:t>
      </w:r>
    </w:p>
    <w:p w:rsidR="0095321F" w:rsidRPr="000A38AF" w:rsidRDefault="0095321F" w:rsidP="0095321F">
      <w:pPr>
        <w:spacing w:before="60" w:after="240"/>
        <w:jc w:val="center"/>
        <w:rPr>
          <w:rFonts w:ascii="Arial" w:hAnsi="Arial" w:cs="Arial"/>
          <w:sz w:val="22"/>
          <w:szCs w:val="22"/>
        </w:rPr>
      </w:pPr>
      <w:r w:rsidRPr="000A38AF">
        <w:rPr>
          <w:rFonts w:ascii="Arial" w:hAnsi="Arial" w:cs="Arial"/>
          <w:sz w:val="22"/>
          <w:szCs w:val="22"/>
        </w:rPr>
        <w:t>(</w:t>
      </w:r>
      <w:proofErr w:type="gramStart"/>
      <w:r w:rsidRPr="000A38AF">
        <w:rPr>
          <w:rFonts w:ascii="Arial" w:hAnsi="Arial" w:cs="Arial"/>
          <w:sz w:val="22"/>
          <w:szCs w:val="22"/>
        </w:rPr>
        <w:t>в</w:t>
      </w:r>
      <w:proofErr w:type="gramEnd"/>
      <w:r w:rsidRPr="000A38AF">
        <w:rPr>
          <w:rFonts w:ascii="Arial" w:hAnsi="Arial" w:cs="Arial"/>
          <w:sz w:val="22"/>
          <w:szCs w:val="22"/>
        </w:rPr>
        <w:t xml:space="preserve"> % </w:t>
      </w:r>
      <w:proofErr w:type="gramStart"/>
      <w:r w:rsidRPr="000A38AF">
        <w:rPr>
          <w:rFonts w:ascii="Arial" w:hAnsi="Arial" w:cs="Arial"/>
          <w:sz w:val="22"/>
          <w:szCs w:val="22"/>
        </w:rPr>
        <w:t>к</w:t>
      </w:r>
      <w:proofErr w:type="gramEnd"/>
      <w:r w:rsidRPr="000A38AF">
        <w:rPr>
          <w:rFonts w:ascii="Arial" w:hAnsi="Arial" w:cs="Arial"/>
          <w:sz w:val="22"/>
          <w:szCs w:val="22"/>
        </w:rPr>
        <w:t xml:space="preserve"> предыдущему году)</w:t>
      </w:r>
    </w:p>
    <w:p w:rsidR="0095321F" w:rsidRPr="001F7D0F" w:rsidRDefault="0095321F" w:rsidP="00406629">
      <w:pPr>
        <w:spacing w:beforeLines="60" w:before="144"/>
        <w:ind w:left="284"/>
        <w:contextualSpacing/>
        <w:jc w:val="center"/>
      </w:pPr>
      <w:r w:rsidRPr="001F7D0F">
        <w:rPr>
          <w:noProof/>
          <w:bdr w:val="double" w:sz="4" w:space="0" w:color="auto"/>
        </w:rPr>
        <w:drawing>
          <wp:inline distT="0" distB="0" distL="0" distR="0">
            <wp:extent cx="8448675" cy="4562475"/>
            <wp:effectExtent l="0" t="0" r="0" b="0"/>
            <wp:docPr id="98"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95321F" w:rsidRPr="00C068FE" w:rsidRDefault="00C068FE" w:rsidP="0095321F">
      <w:pPr>
        <w:keepNext/>
        <w:pageBreakBefore/>
        <w:jc w:val="center"/>
        <w:rPr>
          <w:rFonts w:ascii="Arial" w:hAnsi="Arial" w:cs="Arial"/>
          <w:b/>
          <w:bCs/>
          <w:sz w:val="22"/>
          <w:szCs w:val="22"/>
        </w:rPr>
      </w:pPr>
      <w:r w:rsidRPr="00C068FE">
        <w:rPr>
          <w:rFonts w:ascii="Arial" w:hAnsi="Arial" w:cs="Arial"/>
          <w:b/>
          <w:sz w:val="22"/>
          <w:szCs w:val="22"/>
        </w:rPr>
        <w:lastRenderedPageBreak/>
        <w:t>ИЗМЕНЕНИЕ ИНДЕКСА ЦЕН В СТРОИТЕЛЬСТВЕ И ЦЕН НА ПЕРВИЧНОМ РЫНКЕ ЖИЛЬЯ</w:t>
      </w:r>
    </w:p>
    <w:p w:rsidR="0095321F" w:rsidRPr="000A38AF" w:rsidRDefault="0095321F" w:rsidP="0095321F">
      <w:pPr>
        <w:jc w:val="center"/>
        <w:rPr>
          <w:rFonts w:ascii="Arial" w:hAnsi="Arial" w:cs="Arial"/>
          <w:sz w:val="22"/>
          <w:szCs w:val="22"/>
        </w:rPr>
      </w:pPr>
      <w:r w:rsidRPr="000A38AF">
        <w:rPr>
          <w:rFonts w:ascii="Arial" w:hAnsi="Arial" w:cs="Arial"/>
          <w:sz w:val="22"/>
          <w:szCs w:val="22"/>
        </w:rPr>
        <w:t xml:space="preserve">(на конец года к концу предыдущего года, </w:t>
      </w:r>
      <w:proofErr w:type="gramStart"/>
      <w:r w:rsidRPr="000A38AF">
        <w:rPr>
          <w:rFonts w:ascii="Arial" w:hAnsi="Arial" w:cs="Arial"/>
          <w:sz w:val="22"/>
          <w:szCs w:val="22"/>
        </w:rPr>
        <w:t>в</w:t>
      </w:r>
      <w:proofErr w:type="gramEnd"/>
      <w:r w:rsidRPr="000A38AF">
        <w:rPr>
          <w:rFonts w:ascii="Arial" w:hAnsi="Arial" w:cs="Arial"/>
          <w:sz w:val="22"/>
          <w:szCs w:val="22"/>
        </w:rPr>
        <w:t xml:space="preserve"> %)</w:t>
      </w:r>
    </w:p>
    <w:p w:rsidR="0095321F" w:rsidRPr="00B775DD" w:rsidRDefault="0095321F" w:rsidP="00406629">
      <w:pPr>
        <w:spacing w:beforeLines="60" w:before="144"/>
        <w:contextualSpacing/>
        <w:jc w:val="center"/>
        <w:rPr>
          <w:rFonts w:cs="Arial"/>
          <w:iCs/>
        </w:rPr>
      </w:pPr>
    </w:p>
    <w:p w:rsidR="0095321F" w:rsidRDefault="0095321F" w:rsidP="00406629">
      <w:pPr>
        <w:spacing w:beforeLines="60" w:before="144"/>
        <w:contextualSpacing/>
        <w:jc w:val="center"/>
      </w:pPr>
      <w:r w:rsidRPr="003A22F7">
        <w:rPr>
          <w:noProof/>
          <w:bdr w:val="double" w:sz="4" w:space="0" w:color="auto"/>
        </w:rPr>
        <w:drawing>
          <wp:inline distT="0" distB="0" distL="0" distR="0">
            <wp:extent cx="8966544" cy="4772025"/>
            <wp:effectExtent l="0" t="0" r="0" b="0"/>
            <wp:docPr id="99"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95321F" w:rsidRDefault="0095321F" w:rsidP="00406629">
      <w:pPr>
        <w:spacing w:beforeLines="60" w:before="144"/>
        <w:contextualSpacing/>
        <w:jc w:val="center"/>
        <w:rPr>
          <w:rFonts w:cs="Arial"/>
          <w:iCs/>
        </w:rPr>
      </w:pPr>
    </w:p>
    <w:p w:rsidR="0095321F" w:rsidRDefault="0095321F" w:rsidP="00406629">
      <w:pPr>
        <w:spacing w:beforeLines="60" w:before="144"/>
        <w:contextualSpacing/>
        <w:jc w:val="center"/>
        <w:rPr>
          <w:rFonts w:cs="Arial"/>
          <w:iCs/>
        </w:rPr>
      </w:pPr>
    </w:p>
    <w:p w:rsidR="0095321F" w:rsidRPr="00A5262A" w:rsidRDefault="0095321F" w:rsidP="00406629">
      <w:pPr>
        <w:spacing w:beforeLines="60" w:before="144"/>
        <w:contextualSpacing/>
        <w:jc w:val="center"/>
        <w:rPr>
          <w:rFonts w:cs="Arial"/>
          <w:iCs/>
        </w:rPr>
      </w:pPr>
    </w:p>
    <w:p w:rsidR="0095321F" w:rsidRPr="00B72073" w:rsidRDefault="00B72073" w:rsidP="0095321F">
      <w:pPr>
        <w:pStyle w:val="8"/>
        <w:pageBreakBefore/>
        <w:rPr>
          <w:sz w:val="22"/>
          <w:szCs w:val="22"/>
        </w:rPr>
      </w:pPr>
      <w:r w:rsidRPr="00B72073">
        <w:rPr>
          <w:sz w:val="22"/>
          <w:szCs w:val="22"/>
        </w:rPr>
        <w:lastRenderedPageBreak/>
        <w:t>СРЕДНИЕ ЦЕНЫ НА РЫНКЕ ЖИЛЬЯ</w:t>
      </w:r>
    </w:p>
    <w:p w:rsidR="0095321F" w:rsidRPr="000A38AF" w:rsidRDefault="0095321F" w:rsidP="0095321F">
      <w:pPr>
        <w:spacing w:before="120" w:after="120"/>
        <w:jc w:val="center"/>
        <w:rPr>
          <w:rFonts w:ascii="Arial" w:hAnsi="Arial" w:cs="Arial"/>
          <w:sz w:val="22"/>
          <w:szCs w:val="22"/>
        </w:rPr>
      </w:pPr>
      <w:r w:rsidRPr="000A38AF">
        <w:rPr>
          <w:rFonts w:ascii="Arial" w:hAnsi="Arial" w:cs="Arial"/>
          <w:sz w:val="22"/>
          <w:szCs w:val="22"/>
        </w:rPr>
        <w:t>(на конец года, рублей за один квадратный метр общей площади)</w:t>
      </w:r>
    </w:p>
    <w:p w:rsidR="0095321F" w:rsidRDefault="0095321F" w:rsidP="0095321F">
      <w:pPr>
        <w:pStyle w:val="8"/>
        <w:rPr>
          <w:b w:val="0"/>
          <w:i/>
          <w:iCs/>
          <w:sz w:val="22"/>
        </w:rPr>
      </w:pPr>
      <w:r w:rsidRPr="0086187B">
        <w:rPr>
          <w:noProof/>
          <w:sz w:val="22"/>
          <w:bdr w:val="double" w:sz="4" w:space="0" w:color="auto"/>
        </w:rPr>
        <w:drawing>
          <wp:inline distT="0" distB="0" distL="0" distR="0">
            <wp:extent cx="9072880" cy="4075107"/>
            <wp:effectExtent l="19050" t="0" r="0" b="0"/>
            <wp:docPr id="100" name="Объект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95321F" w:rsidRDefault="0095321F" w:rsidP="0095321F"/>
    <w:p w:rsidR="0095321F" w:rsidRPr="00B72073" w:rsidRDefault="00B72073" w:rsidP="0095321F">
      <w:pPr>
        <w:pStyle w:val="3"/>
        <w:spacing w:before="120"/>
        <w:rPr>
          <w:rFonts w:ascii="Arial" w:hAnsi="Arial" w:cs="Arial"/>
          <w:sz w:val="22"/>
          <w:szCs w:val="22"/>
        </w:rPr>
      </w:pPr>
      <w:bookmarkStart w:id="36" w:name="_Toc50455915"/>
      <w:bookmarkStart w:id="37" w:name="_Toc171411516"/>
      <w:bookmarkStart w:id="38" w:name="_Toc268601380"/>
      <w:bookmarkStart w:id="39" w:name="_Toc334797347"/>
      <w:bookmarkStart w:id="40" w:name="_Toc335308022"/>
      <w:r w:rsidRPr="00B72073">
        <w:rPr>
          <w:rFonts w:ascii="Arial" w:hAnsi="Arial" w:cs="Arial"/>
          <w:sz w:val="22"/>
          <w:szCs w:val="22"/>
        </w:rPr>
        <w:t xml:space="preserve">ИНДЕКСЫ </w:t>
      </w:r>
      <w:bookmarkEnd w:id="36"/>
      <w:bookmarkEnd w:id="37"/>
      <w:bookmarkEnd w:id="38"/>
      <w:bookmarkEnd w:id="39"/>
      <w:bookmarkEnd w:id="40"/>
      <w:r w:rsidRPr="00B72073">
        <w:rPr>
          <w:rFonts w:ascii="Arial" w:hAnsi="Arial" w:cs="Arial"/>
          <w:sz w:val="22"/>
          <w:szCs w:val="22"/>
        </w:rPr>
        <w:t>ЦЕН НА РЫНКЕ ЖИЛЬЯ</w:t>
      </w:r>
    </w:p>
    <w:p w:rsidR="0095321F" w:rsidRPr="000A38AF" w:rsidRDefault="0095321F" w:rsidP="0095321F">
      <w:pPr>
        <w:pStyle w:val="21"/>
        <w:tabs>
          <w:tab w:val="left" w:pos="5670"/>
        </w:tabs>
        <w:spacing w:before="120" w:after="120"/>
        <w:jc w:val="center"/>
        <w:rPr>
          <w:rFonts w:cs="Arial"/>
          <w:sz w:val="22"/>
          <w:szCs w:val="22"/>
        </w:rPr>
      </w:pPr>
      <w:r w:rsidRPr="000A38AF">
        <w:rPr>
          <w:rFonts w:cs="Arial"/>
          <w:sz w:val="22"/>
          <w:szCs w:val="22"/>
        </w:rPr>
        <w:t>(на конец года к концу предыдущего года, в процентах)</w:t>
      </w:r>
    </w:p>
    <w:tbl>
      <w:tblPr>
        <w:tblStyle w:val="afc"/>
        <w:tblW w:w="0" w:type="auto"/>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ook w:val="04A0" w:firstRow="1" w:lastRow="0" w:firstColumn="1" w:lastColumn="0" w:noHBand="0" w:noVBand="1"/>
      </w:tblPr>
      <w:tblGrid>
        <w:gridCol w:w="2124"/>
        <w:gridCol w:w="1023"/>
        <w:gridCol w:w="818"/>
        <w:gridCol w:w="1171"/>
        <w:gridCol w:w="1171"/>
        <w:gridCol w:w="1171"/>
        <w:gridCol w:w="1171"/>
        <w:gridCol w:w="1171"/>
        <w:gridCol w:w="1171"/>
        <w:gridCol w:w="1171"/>
        <w:gridCol w:w="1171"/>
        <w:gridCol w:w="1171"/>
      </w:tblGrid>
      <w:tr w:rsidR="00E51154" w:rsidTr="00E51154">
        <w:tc>
          <w:tcPr>
            <w:tcW w:w="2124" w:type="dxa"/>
            <w:shd w:val="clear" w:color="auto" w:fill="C6D9F1" w:themeFill="text2" w:themeFillTint="33"/>
          </w:tcPr>
          <w:p w:rsidR="00E51154" w:rsidRDefault="00E51154" w:rsidP="00F15D5C">
            <w:pPr>
              <w:rPr>
                <w:rFonts w:ascii="Arial" w:hAnsi="Arial" w:cs="Arial"/>
                <w:b/>
                <w:bCs/>
                <w:i/>
                <w:caps/>
                <w:kern w:val="28"/>
              </w:rPr>
            </w:pPr>
          </w:p>
        </w:tc>
        <w:tc>
          <w:tcPr>
            <w:tcW w:w="1023" w:type="dxa"/>
            <w:shd w:val="clear" w:color="auto" w:fill="C6D9F1" w:themeFill="text2" w:themeFillTint="33"/>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2001</w:t>
            </w:r>
          </w:p>
        </w:tc>
        <w:tc>
          <w:tcPr>
            <w:tcW w:w="818" w:type="dxa"/>
            <w:shd w:val="clear" w:color="auto" w:fill="C6D9F1" w:themeFill="text2" w:themeFillTint="33"/>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2002</w:t>
            </w:r>
          </w:p>
        </w:tc>
        <w:tc>
          <w:tcPr>
            <w:tcW w:w="1171" w:type="dxa"/>
            <w:shd w:val="clear" w:color="auto" w:fill="C6D9F1" w:themeFill="text2" w:themeFillTint="33"/>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2003</w:t>
            </w:r>
          </w:p>
        </w:tc>
        <w:tc>
          <w:tcPr>
            <w:tcW w:w="1171" w:type="dxa"/>
            <w:shd w:val="clear" w:color="auto" w:fill="C6D9F1" w:themeFill="text2" w:themeFillTint="33"/>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2004</w:t>
            </w:r>
          </w:p>
        </w:tc>
        <w:tc>
          <w:tcPr>
            <w:tcW w:w="1171" w:type="dxa"/>
            <w:shd w:val="clear" w:color="auto" w:fill="C6D9F1" w:themeFill="text2" w:themeFillTint="33"/>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2005</w:t>
            </w:r>
          </w:p>
        </w:tc>
        <w:tc>
          <w:tcPr>
            <w:tcW w:w="1171" w:type="dxa"/>
            <w:shd w:val="clear" w:color="auto" w:fill="C6D9F1" w:themeFill="text2" w:themeFillTint="33"/>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2006</w:t>
            </w:r>
          </w:p>
        </w:tc>
        <w:tc>
          <w:tcPr>
            <w:tcW w:w="1171" w:type="dxa"/>
            <w:shd w:val="clear" w:color="auto" w:fill="C6D9F1" w:themeFill="text2" w:themeFillTint="33"/>
            <w:vAlign w:val="center"/>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2007</w:t>
            </w:r>
          </w:p>
        </w:tc>
        <w:tc>
          <w:tcPr>
            <w:tcW w:w="1171" w:type="dxa"/>
            <w:shd w:val="clear" w:color="auto" w:fill="C6D9F1" w:themeFill="text2" w:themeFillTint="33"/>
            <w:vAlign w:val="center"/>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2008</w:t>
            </w:r>
          </w:p>
        </w:tc>
        <w:tc>
          <w:tcPr>
            <w:tcW w:w="1171" w:type="dxa"/>
            <w:shd w:val="clear" w:color="auto" w:fill="C6D9F1" w:themeFill="text2" w:themeFillTint="33"/>
            <w:vAlign w:val="center"/>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2009</w:t>
            </w:r>
          </w:p>
        </w:tc>
        <w:tc>
          <w:tcPr>
            <w:tcW w:w="1171" w:type="dxa"/>
            <w:shd w:val="clear" w:color="auto" w:fill="C6D9F1" w:themeFill="text2" w:themeFillTint="33"/>
            <w:vAlign w:val="center"/>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2010</w:t>
            </w:r>
          </w:p>
        </w:tc>
        <w:tc>
          <w:tcPr>
            <w:tcW w:w="1171" w:type="dxa"/>
            <w:shd w:val="clear" w:color="auto" w:fill="C6D9F1" w:themeFill="text2" w:themeFillTint="33"/>
            <w:vAlign w:val="center"/>
          </w:tcPr>
          <w:p w:rsidR="00E51154" w:rsidRPr="00B72073" w:rsidRDefault="00E51154" w:rsidP="0022238D">
            <w:pPr>
              <w:spacing w:before="40" w:after="40"/>
              <w:jc w:val="center"/>
              <w:rPr>
                <w:rFonts w:ascii="Arial" w:hAnsi="Arial" w:cs="Arial"/>
                <w:sz w:val="18"/>
                <w:szCs w:val="18"/>
              </w:rPr>
            </w:pPr>
            <w:r w:rsidRPr="00B72073">
              <w:rPr>
                <w:rFonts w:ascii="Arial" w:hAnsi="Arial" w:cs="Arial"/>
                <w:sz w:val="18"/>
                <w:szCs w:val="18"/>
              </w:rPr>
              <w:t>2011</w:t>
            </w:r>
          </w:p>
        </w:tc>
      </w:tr>
      <w:tr w:rsidR="00E51154" w:rsidTr="00E51154">
        <w:tc>
          <w:tcPr>
            <w:tcW w:w="2124" w:type="dxa"/>
            <w:vAlign w:val="bottom"/>
          </w:tcPr>
          <w:p w:rsidR="00E51154" w:rsidRPr="00B72073" w:rsidRDefault="00E51154" w:rsidP="0022238D">
            <w:pPr>
              <w:spacing w:before="40" w:after="40"/>
              <w:ind w:left="284"/>
              <w:rPr>
                <w:rFonts w:ascii="Arial" w:hAnsi="Arial" w:cs="Arial"/>
                <w:sz w:val="18"/>
                <w:szCs w:val="18"/>
              </w:rPr>
            </w:pPr>
            <w:r w:rsidRPr="00B72073">
              <w:rPr>
                <w:rFonts w:ascii="Arial" w:hAnsi="Arial" w:cs="Arial"/>
                <w:sz w:val="18"/>
                <w:szCs w:val="18"/>
              </w:rPr>
              <w:t xml:space="preserve">Первичный рынок  </w:t>
            </w:r>
          </w:p>
        </w:tc>
        <w:tc>
          <w:tcPr>
            <w:tcW w:w="1023"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131,7</w:t>
            </w:r>
          </w:p>
        </w:tc>
        <w:tc>
          <w:tcPr>
            <w:tcW w:w="818"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142,7</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119,2</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111,0</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112,7</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135,3</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156,1</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111,8</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91,1</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98,4</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103,5</w:t>
            </w:r>
          </w:p>
        </w:tc>
      </w:tr>
      <w:tr w:rsidR="00E51154" w:rsidTr="00E51154">
        <w:tc>
          <w:tcPr>
            <w:tcW w:w="2124" w:type="dxa"/>
            <w:vAlign w:val="bottom"/>
          </w:tcPr>
          <w:p w:rsidR="00E51154" w:rsidRPr="00B72073" w:rsidRDefault="00E51154" w:rsidP="0022238D">
            <w:pPr>
              <w:spacing w:before="40" w:after="40"/>
              <w:ind w:left="284"/>
              <w:rPr>
                <w:rFonts w:ascii="Arial" w:hAnsi="Arial" w:cs="Arial"/>
                <w:sz w:val="18"/>
                <w:szCs w:val="18"/>
              </w:rPr>
            </w:pPr>
            <w:r w:rsidRPr="00B72073">
              <w:rPr>
                <w:rFonts w:ascii="Arial" w:hAnsi="Arial" w:cs="Arial"/>
                <w:sz w:val="18"/>
                <w:szCs w:val="18"/>
              </w:rPr>
              <w:t>Вторичный рынок</w:t>
            </w:r>
          </w:p>
        </w:tc>
        <w:tc>
          <w:tcPr>
            <w:tcW w:w="1023"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145,6</w:t>
            </w:r>
          </w:p>
        </w:tc>
        <w:tc>
          <w:tcPr>
            <w:tcW w:w="818"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137,1</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116,4</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118,3</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121,0</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140,7</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155,4</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108,3</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90,5</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106,1</w:t>
            </w:r>
          </w:p>
        </w:tc>
        <w:tc>
          <w:tcPr>
            <w:tcW w:w="1171" w:type="dxa"/>
            <w:vAlign w:val="bottom"/>
          </w:tcPr>
          <w:p w:rsidR="00E51154" w:rsidRPr="00B72073" w:rsidRDefault="00E51154" w:rsidP="0022238D">
            <w:pPr>
              <w:tabs>
                <w:tab w:val="decimal" w:pos="451"/>
              </w:tabs>
              <w:spacing w:before="40" w:after="40"/>
              <w:rPr>
                <w:rFonts w:ascii="Arial" w:hAnsi="Arial" w:cs="Arial"/>
                <w:sz w:val="18"/>
                <w:szCs w:val="18"/>
              </w:rPr>
            </w:pPr>
            <w:r w:rsidRPr="00B72073">
              <w:rPr>
                <w:rFonts w:ascii="Arial" w:hAnsi="Arial" w:cs="Arial"/>
                <w:sz w:val="18"/>
                <w:szCs w:val="18"/>
              </w:rPr>
              <w:t>106,3</w:t>
            </w:r>
          </w:p>
        </w:tc>
      </w:tr>
    </w:tbl>
    <w:p w:rsidR="00F15D5C" w:rsidRDefault="00F15D5C" w:rsidP="00F15D5C">
      <w:pPr>
        <w:rPr>
          <w:rFonts w:ascii="Arial" w:hAnsi="Arial" w:cs="Arial"/>
          <w:b/>
          <w:bCs/>
          <w:i/>
          <w:caps/>
          <w:kern w:val="28"/>
          <w:sz w:val="22"/>
        </w:rPr>
      </w:pPr>
    </w:p>
    <w:p w:rsidR="00A97E1C" w:rsidRDefault="00A97E1C" w:rsidP="00780B38">
      <w:pPr>
        <w:pStyle w:val="8"/>
        <w:rPr>
          <w:b w:val="0"/>
          <w:i/>
          <w:iCs/>
          <w:sz w:val="22"/>
        </w:rPr>
      </w:pPr>
    </w:p>
    <w:p w:rsidR="00E51154" w:rsidRDefault="00E51154" w:rsidP="00E51154">
      <w:pPr>
        <w:rPr>
          <w:rFonts w:ascii="Arial" w:hAnsi="Arial" w:cs="Arial"/>
          <w:b/>
          <w:bCs/>
          <w:i/>
          <w:caps/>
          <w:kern w:val="28"/>
          <w:sz w:val="22"/>
        </w:rPr>
      </w:pPr>
    </w:p>
    <w:p w:rsidR="00E51154" w:rsidRPr="00217011" w:rsidRDefault="00E51154" w:rsidP="00E51154">
      <w:pPr>
        <w:pStyle w:val="1"/>
        <w:rPr>
          <w:b w:val="0"/>
          <w:bCs/>
          <w:color w:val="548DD4" w:themeColor="text2" w:themeTint="99"/>
        </w:rPr>
      </w:pPr>
      <w:bookmarkStart w:id="41" w:name="_Toc309826900"/>
      <w:r w:rsidRPr="00217011">
        <w:rPr>
          <w:color w:val="548DD4" w:themeColor="text2" w:themeTint="99"/>
        </w:rPr>
        <w:t>ВНЕШНЕЭКОНОМИЧЕСКАЯ ДЕЯТЕЛЬНОСТЬ</w:t>
      </w:r>
      <w:bookmarkEnd w:id="41"/>
    </w:p>
    <w:p w:rsidR="00E51154" w:rsidRDefault="00E51154" w:rsidP="00E51154">
      <w:pPr>
        <w:rPr>
          <w:rFonts w:ascii="Arial" w:hAnsi="Arial" w:cs="Arial"/>
          <w:sz w:val="22"/>
        </w:rPr>
      </w:pPr>
      <w:r>
        <w:rPr>
          <w:rFonts w:ascii="Arial" w:hAnsi="Arial" w:cs="Arial"/>
          <w:noProof/>
          <w:sz w:val="22"/>
        </w:rPr>
        <w:drawing>
          <wp:anchor distT="0" distB="0" distL="114300" distR="114300" simplePos="0" relativeHeight="251795456" behindDoc="0" locked="0" layoutInCell="1" allowOverlap="1">
            <wp:simplePos x="0" y="0"/>
            <wp:positionH relativeFrom="margin">
              <wp:posOffset>6985</wp:posOffset>
            </wp:positionH>
            <wp:positionV relativeFrom="margin">
              <wp:posOffset>614045</wp:posOffset>
            </wp:positionV>
            <wp:extent cx="1472565" cy="1174115"/>
            <wp:effectExtent l="19050" t="0" r="0" b="0"/>
            <wp:wrapSquare wrapText="bothSides"/>
            <wp:docPr id="2" name="Рисунок 50" descr="ВЭ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ЭД.jpg"/>
                    <pic:cNvPicPr/>
                  </pic:nvPicPr>
                  <pic:blipFill>
                    <a:blip r:embed="rId83"/>
                    <a:stretch>
                      <a:fillRect/>
                    </a:stretch>
                  </pic:blipFill>
                  <pic:spPr>
                    <a:xfrm>
                      <a:off x="0" y="0"/>
                      <a:ext cx="1472565" cy="1174115"/>
                    </a:xfrm>
                    <a:prstGeom prst="rect">
                      <a:avLst/>
                    </a:prstGeom>
                    <a:ln>
                      <a:noFill/>
                    </a:ln>
                    <a:effectLst>
                      <a:softEdge rad="112500"/>
                    </a:effectLst>
                  </pic:spPr>
                </pic:pic>
              </a:graphicData>
            </a:graphic>
          </wp:anchor>
        </w:drawing>
      </w:r>
    </w:p>
    <w:p w:rsidR="00E51154" w:rsidRDefault="00E51154" w:rsidP="00E51154">
      <w:pPr>
        <w:pStyle w:val="aa"/>
        <w:spacing w:line="240" w:lineRule="auto"/>
        <w:ind w:firstLine="0"/>
        <w:rPr>
          <w:sz w:val="22"/>
          <w:szCs w:val="22"/>
        </w:rPr>
      </w:pPr>
      <w:r>
        <w:rPr>
          <w:sz w:val="22"/>
          <w:szCs w:val="22"/>
        </w:rPr>
        <w:t>Внешнеэкономическая деятельность предприятий Ульяновской области начала формироваться после 90-х годов и окончательно сложилась к 1995 году.</w:t>
      </w:r>
    </w:p>
    <w:p w:rsidR="00E51154" w:rsidRDefault="00E51154" w:rsidP="00E51154">
      <w:pPr>
        <w:pStyle w:val="aa"/>
        <w:spacing w:line="240" w:lineRule="auto"/>
        <w:ind w:firstLine="0"/>
        <w:rPr>
          <w:sz w:val="22"/>
          <w:szCs w:val="22"/>
        </w:rPr>
      </w:pPr>
      <w:r>
        <w:rPr>
          <w:sz w:val="22"/>
          <w:szCs w:val="22"/>
        </w:rPr>
        <w:t>По состоянию на 1 января 201</w:t>
      </w:r>
      <w:r w:rsidRPr="004443C6">
        <w:rPr>
          <w:sz w:val="22"/>
          <w:szCs w:val="22"/>
        </w:rPr>
        <w:t>2</w:t>
      </w:r>
      <w:r>
        <w:rPr>
          <w:sz w:val="22"/>
          <w:szCs w:val="22"/>
        </w:rPr>
        <w:t xml:space="preserve"> года в области действовало </w:t>
      </w:r>
      <w:r w:rsidRPr="004443C6">
        <w:rPr>
          <w:sz w:val="22"/>
          <w:szCs w:val="22"/>
        </w:rPr>
        <w:t>7</w:t>
      </w:r>
      <w:r>
        <w:rPr>
          <w:sz w:val="22"/>
          <w:szCs w:val="22"/>
        </w:rPr>
        <w:t>5 организаций с участием иностранного капитала.</w:t>
      </w:r>
    </w:p>
    <w:p w:rsidR="00E51154" w:rsidRDefault="00E51154" w:rsidP="00E51154">
      <w:pPr>
        <w:pStyle w:val="aa"/>
        <w:spacing w:line="240" w:lineRule="auto"/>
        <w:ind w:firstLine="0"/>
        <w:rPr>
          <w:sz w:val="22"/>
          <w:szCs w:val="22"/>
        </w:rPr>
      </w:pPr>
      <w:r>
        <w:rPr>
          <w:sz w:val="22"/>
          <w:szCs w:val="22"/>
        </w:rPr>
        <w:t>Оборот по предприятиям и организациям с участием иностранного капитала за 201</w:t>
      </w:r>
      <w:r w:rsidRPr="004443C6">
        <w:rPr>
          <w:sz w:val="22"/>
          <w:szCs w:val="22"/>
        </w:rPr>
        <w:t>1</w:t>
      </w:r>
      <w:r>
        <w:rPr>
          <w:sz w:val="22"/>
          <w:szCs w:val="22"/>
        </w:rPr>
        <w:t xml:space="preserve"> год составил 91163,1 млн. рублей, или 110,6% к 2010 году.</w:t>
      </w:r>
    </w:p>
    <w:p w:rsidR="00E51154" w:rsidRDefault="00E51154" w:rsidP="00E51154">
      <w:pPr>
        <w:pStyle w:val="aa"/>
        <w:spacing w:line="240" w:lineRule="auto"/>
        <w:ind w:firstLine="0"/>
        <w:rPr>
          <w:sz w:val="22"/>
          <w:szCs w:val="22"/>
        </w:rPr>
      </w:pPr>
      <w:r w:rsidRPr="004443C6">
        <w:rPr>
          <w:sz w:val="22"/>
          <w:szCs w:val="26"/>
        </w:rPr>
        <w:t>Предприятия с участием иностранного капитала созданы при участии иностранных инвесторов из 29 государств. При этом 96,9% взносов в уставный капитал иностранных юридических и физических лиц  приходится на 5 гос</w:t>
      </w:r>
      <w:r w:rsidRPr="004443C6">
        <w:rPr>
          <w:sz w:val="22"/>
          <w:szCs w:val="26"/>
        </w:rPr>
        <w:t>у</w:t>
      </w:r>
      <w:r w:rsidRPr="004443C6">
        <w:rPr>
          <w:sz w:val="22"/>
          <w:szCs w:val="26"/>
        </w:rPr>
        <w:t>дарств. Так, доля инвесторов из Кипра состав</w:t>
      </w:r>
      <w:r>
        <w:rPr>
          <w:sz w:val="22"/>
          <w:szCs w:val="26"/>
        </w:rPr>
        <w:t>ила</w:t>
      </w:r>
      <w:r w:rsidRPr="004443C6">
        <w:rPr>
          <w:sz w:val="22"/>
          <w:szCs w:val="26"/>
        </w:rPr>
        <w:t xml:space="preserve"> 31,6%, Германии – 22,8%,  Австрии 18,3%, Канады – 18,1%, Соединённого Королевства (Великобритании) – 6,1%. </w:t>
      </w:r>
    </w:p>
    <w:p w:rsidR="00282809" w:rsidRDefault="00282809" w:rsidP="00E51154">
      <w:pPr>
        <w:pStyle w:val="8"/>
        <w:spacing w:after="120"/>
        <w:rPr>
          <w:sz w:val="22"/>
          <w:szCs w:val="22"/>
        </w:rPr>
      </w:pPr>
    </w:p>
    <w:p w:rsidR="00E51154" w:rsidRDefault="00282809" w:rsidP="00E51154">
      <w:pPr>
        <w:pStyle w:val="8"/>
        <w:spacing w:after="120"/>
        <w:rPr>
          <w:sz w:val="22"/>
          <w:szCs w:val="22"/>
        </w:rPr>
      </w:pPr>
      <w:r>
        <w:rPr>
          <w:noProof/>
          <w:sz w:val="22"/>
          <w:szCs w:val="22"/>
        </w:rPr>
        <w:drawing>
          <wp:anchor distT="0" distB="0" distL="114300" distR="114300" simplePos="0" relativeHeight="251796480" behindDoc="1" locked="0" layoutInCell="1" allowOverlap="1">
            <wp:simplePos x="0" y="0"/>
            <wp:positionH relativeFrom="column">
              <wp:posOffset>-31115</wp:posOffset>
            </wp:positionH>
            <wp:positionV relativeFrom="paragraph">
              <wp:posOffset>402590</wp:posOffset>
            </wp:positionV>
            <wp:extent cx="4336415" cy="3281680"/>
            <wp:effectExtent l="19050" t="0" r="26035" b="0"/>
            <wp:wrapTight wrapText="bothSides">
              <wp:wrapPolygon edited="0">
                <wp:start x="-95" y="0"/>
                <wp:lineTo x="-95" y="21567"/>
                <wp:lineTo x="21730" y="21567"/>
                <wp:lineTo x="21730" y="0"/>
                <wp:lineTo x="-95" y="0"/>
              </wp:wrapPolygon>
            </wp:wrapTight>
            <wp:docPr id="12" name="Объект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r w:rsidR="00E51154">
        <w:rPr>
          <w:sz w:val="22"/>
          <w:szCs w:val="22"/>
        </w:rPr>
        <w:t xml:space="preserve">СТРУКТУРА ДЕЙСТВУЮЩИХ ПРЕДПРИЯТИЙ С УЧАСТИЕМ ИНОСТРАННОГО КАПИТАЛА </w:t>
      </w:r>
      <w:r w:rsidR="00E51154">
        <w:rPr>
          <w:sz w:val="22"/>
          <w:szCs w:val="22"/>
        </w:rPr>
        <w:br/>
        <w:t xml:space="preserve">ПО ВИДАМ ЭКОНОМИЧЕСКОЙ ДЕЯТЕЛЬНОСТИ, </w:t>
      </w:r>
      <w:proofErr w:type="gramStart"/>
      <w:r w:rsidR="00E51154" w:rsidRPr="00DC73E7">
        <w:rPr>
          <w:caps/>
          <w:sz w:val="22"/>
          <w:szCs w:val="22"/>
        </w:rPr>
        <w:t>в</w:t>
      </w:r>
      <w:proofErr w:type="gramEnd"/>
      <w:r w:rsidR="00E51154" w:rsidRPr="00DC73E7">
        <w:rPr>
          <w:caps/>
          <w:sz w:val="22"/>
          <w:szCs w:val="22"/>
        </w:rPr>
        <w:t xml:space="preserve"> % к итогу</w:t>
      </w:r>
    </w:p>
    <w:p w:rsidR="00E51154" w:rsidRDefault="00E51154" w:rsidP="00282809">
      <w:pPr>
        <w:ind w:left="142"/>
        <w:rPr>
          <w:rFonts w:ascii="Arial" w:hAnsi="Arial" w:cs="Arial"/>
          <w:sz w:val="22"/>
          <w:szCs w:val="22"/>
        </w:rPr>
      </w:pPr>
      <w:r>
        <w:rPr>
          <w:noProof/>
        </w:rPr>
        <w:drawing>
          <wp:anchor distT="0" distB="0" distL="114300" distR="114300" simplePos="0" relativeHeight="251797504" behindDoc="1" locked="0" layoutInCell="1" allowOverlap="1">
            <wp:simplePos x="0" y="0"/>
            <wp:positionH relativeFrom="column">
              <wp:posOffset>-129540</wp:posOffset>
            </wp:positionH>
            <wp:positionV relativeFrom="paragraph">
              <wp:posOffset>5080</wp:posOffset>
            </wp:positionV>
            <wp:extent cx="4333875" cy="3281680"/>
            <wp:effectExtent l="19050" t="0" r="9525" b="0"/>
            <wp:wrapTight wrapText="bothSides">
              <wp:wrapPolygon edited="0">
                <wp:start x="-95" y="0"/>
                <wp:lineTo x="-95" y="21567"/>
                <wp:lineTo x="21647" y="21567"/>
                <wp:lineTo x="21647" y="0"/>
                <wp:lineTo x="-95" y="0"/>
              </wp:wrapPolygon>
            </wp:wrapTight>
            <wp:docPr id="5" name="Объект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p>
    <w:p w:rsidR="00282809" w:rsidRDefault="00282809">
      <w:pPr>
        <w:rPr>
          <w:rFonts w:ascii="Arial" w:hAnsi="Arial"/>
          <w:sz w:val="22"/>
          <w:szCs w:val="22"/>
        </w:rPr>
      </w:pPr>
      <w:r>
        <w:rPr>
          <w:sz w:val="22"/>
          <w:szCs w:val="22"/>
        </w:rPr>
        <w:br w:type="page"/>
      </w:r>
    </w:p>
    <w:p w:rsidR="00E51154" w:rsidRDefault="00E51154" w:rsidP="00E51154">
      <w:pPr>
        <w:pStyle w:val="aa"/>
        <w:spacing w:line="240" w:lineRule="auto"/>
        <w:rPr>
          <w:sz w:val="22"/>
          <w:szCs w:val="22"/>
        </w:rPr>
      </w:pPr>
      <w:r>
        <w:rPr>
          <w:sz w:val="22"/>
          <w:szCs w:val="22"/>
        </w:rPr>
        <w:lastRenderedPageBreak/>
        <w:t>Внешнеторговый оборот, начиная с 1995 года и по 2007 год, имел положительную динамику. Высокий прирост был характерен для 1996 года (109,6%), 1998 (148,6%),  2002 года (141,1%), 2003 года (118,2%), 2006 года (161,2%), 2007 года (151,9%). В условиях финанс</w:t>
      </w:r>
      <w:r>
        <w:rPr>
          <w:sz w:val="22"/>
          <w:szCs w:val="22"/>
        </w:rPr>
        <w:t>о</w:t>
      </w:r>
      <w:r>
        <w:rPr>
          <w:sz w:val="22"/>
          <w:szCs w:val="22"/>
        </w:rPr>
        <w:t>во - экономического кризиса в стране внешнеторговый оборот области за 2008 и 2009 годы к предыдущему периоду  снизился – соотве</w:t>
      </w:r>
      <w:r>
        <w:rPr>
          <w:sz w:val="22"/>
          <w:szCs w:val="22"/>
        </w:rPr>
        <w:t>т</w:t>
      </w:r>
      <w:r>
        <w:rPr>
          <w:sz w:val="22"/>
          <w:szCs w:val="22"/>
        </w:rPr>
        <w:t>ственно на 15,3% и 29,4%. Но в 2010 году вновь отмечен значительный рост внешнеторгового оборота относительно 2009 года – в 1,7 раза. Прирост внешнеторгового оборота за 2011 год к 2010 году составил 29,5%. Сальдо внешнеторгового оборота оставалось полож</w:t>
      </w:r>
      <w:r>
        <w:rPr>
          <w:sz w:val="22"/>
          <w:szCs w:val="22"/>
        </w:rPr>
        <w:t>и</w:t>
      </w:r>
      <w:r>
        <w:rPr>
          <w:sz w:val="22"/>
          <w:szCs w:val="22"/>
        </w:rPr>
        <w:t>тельным, хотя и наблюдается тенденция его снижения последние 4 года.</w:t>
      </w:r>
    </w:p>
    <w:p w:rsidR="00E51154" w:rsidRDefault="00E51154" w:rsidP="00E51154">
      <w:pPr>
        <w:ind w:firstLine="709"/>
        <w:rPr>
          <w:rFonts w:ascii="Arial" w:hAnsi="Arial" w:cs="Arial"/>
          <w:sz w:val="22"/>
          <w:szCs w:val="22"/>
        </w:rPr>
      </w:pPr>
      <w:r>
        <w:rPr>
          <w:rFonts w:ascii="Arial" w:hAnsi="Arial" w:cs="Arial"/>
          <w:sz w:val="22"/>
          <w:szCs w:val="22"/>
        </w:rPr>
        <w:t>Страны дальнего зарубежья по-прежнему являлись основными партнёрами.</w:t>
      </w:r>
    </w:p>
    <w:p w:rsidR="00282809" w:rsidRDefault="00282809" w:rsidP="00E51154">
      <w:pPr>
        <w:pStyle w:val="aa"/>
        <w:spacing w:line="240" w:lineRule="auto"/>
        <w:ind w:firstLine="0"/>
        <w:jc w:val="center"/>
        <w:rPr>
          <w:b/>
          <w:bCs/>
          <w:sz w:val="22"/>
          <w:szCs w:val="22"/>
        </w:rPr>
      </w:pPr>
    </w:p>
    <w:p w:rsidR="00E51154" w:rsidRDefault="00E51154" w:rsidP="00E51154">
      <w:pPr>
        <w:pStyle w:val="aa"/>
        <w:spacing w:line="240" w:lineRule="auto"/>
        <w:ind w:firstLine="0"/>
        <w:jc w:val="center"/>
        <w:rPr>
          <w:b/>
          <w:bCs/>
          <w:sz w:val="22"/>
          <w:szCs w:val="22"/>
        </w:rPr>
      </w:pPr>
      <w:r>
        <w:rPr>
          <w:b/>
          <w:bCs/>
          <w:sz w:val="22"/>
          <w:szCs w:val="22"/>
        </w:rPr>
        <w:t xml:space="preserve">ДОЛЯ СТРАН ДАЛЬНЕГО ЗАРУБЕЖЬЯ В ОБЛАСТНЫХ ЭКСПОРТНО-ИМПОРТНЫХ ОПЕРАЦИЯХ </w:t>
      </w:r>
    </w:p>
    <w:p w:rsidR="00E51154" w:rsidRDefault="00E51154" w:rsidP="00E51154">
      <w:pPr>
        <w:pStyle w:val="aa"/>
        <w:spacing w:line="240" w:lineRule="auto"/>
        <w:ind w:firstLine="0"/>
        <w:jc w:val="center"/>
        <w:rPr>
          <w:sz w:val="22"/>
          <w:szCs w:val="22"/>
        </w:rPr>
      </w:pPr>
      <w:r>
        <w:rPr>
          <w:sz w:val="22"/>
          <w:szCs w:val="22"/>
        </w:rPr>
        <w:t>(в процентах)</w:t>
      </w:r>
    </w:p>
    <w:p w:rsidR="00282809" w:rsidRDefault="00282809" w:rsidP="00E51154">
      <w:pPr>
        <w:pStyle w:val="aa"/>
        <w:spacing w:line="240" w:lineRule="auto"/>
        <w:ind w:firstLine="0"/>
        <w:jc w:val="center"/>
        <w:rPr>
          <w:sz w:val="22"/>
          <w:szCs w:val="22"/>
        </w:rPr>
      </w:pPr>
    </w:p>
    <w:tbl>
      <w:tblPr>
        <w:tblStyle w:val="-11"/>
        <w:tblW w:w="5000" w:type="pct"/>
        <w:tblLook w:val="0000" w:firstRow="0" w:lastRow="0" w:firstColumn="0" w:lastColumn="0" w:noHBand="0" w:noVBand="0"/>
      </w:tblPr>
      <w:tblGrid>
        <w:gridCol w:w="4835"/>
        <w:gridCol w:w="4836"/>
        <w:gridCol w:w="4833"/>
      </w:tblGrid>
      <w:tr w:rsidR="00E51154" w:rsidTr="0022238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67" w:type="pct"/>
            <w:shd w:val="clear" w:color="auto" w:fill="C6D9F1" w:themeFill="text2" w:themeFillTint="33"/>
          </w:tcPr>
          <w:p w:rsidR="00E51154" w:rsidRDefault="00E51154" w:rsidP="00282809">
            <w:pPr>
              <w:spacing w:before="120" w:after="120"/>
              <w:jc w:val="center"/>
              <w:rPr>
                <w:rFonts w:ascii="Arial" w:hAnsi="Arial" w:cs="Arial"/>
                <w:sz w:val="18"/>
                <w:szCs w:val="18"/>
              </w:rPr>
            </w:pPr>
          </w:p>
        </w:tc>
        <w:tc>
          <w:tcPr>
            <w:tcW w:w="1667" w:type="pct"/>
            <w:shd w:val="clear" w:color="auto" w:fill="C6D9F1" w:themeFill="text2" w:themeFillTint="33"/>
          </w:tcPr>
          <w:p w:rsidR="00E51154" w:rsidRDefault="00E51154" w:rsidP="00282809">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Экспорт</w:t>
            </w:r>
          </w:p>
        </w:tc>
        <w:tc>
          <w:tcPr>
            <w:cnfStyle w:val="000010000000" w:firstRow="0" w:lastRow="0" w:firstColumn="0" w:lastColumn="0" w:oddVBand="1" w:evenVBand="0" w:oddHBand="0" w:evenHBand="0" w:firstRowFirstColumn="0" w:firstRowLastColumn="0" w:lastRowFirstColumn="0" w:lastRowLastColumn="0"/>
            <w:tcW w:w="1666" w:type="pct"/>
            <w:shd w:val="clear" w:color="auto" w:fill="C6D9F1" w:themeFill="text2" w:themeFillTint="33"/>
          </w:tcPr>
          <w:p w:rsidR="00E51154" w:rsidRDefault="00E51154" w:rsidP="00282809">
            <w:pPr>
              <w:spacing w:before="120" w:after="120"/>
              <w:jc w:val="center"/>
              <w:rPr>
                <w:rFonts w:ascii="Arial" w:hAnsi="Arial" w:cs="Arial"/>
                <w:sz w:val="18"/>
                <w:szCs w:val="18"/>
              </w:rPr>
            </w:pPr>
            <w:r>
              <w:rPr>
                <w:rFonts w:ascii="Arial" w:hAnsi="Arial" w:cs="Arial"/>
                <w:sz w:val="18"/>
                <w:szCs w:val="18"/>
              </w:rPr>
              <w:t>Импорт</w:t>
            </w:r>
          </w:p>
        </w:tc>
      </w:tr>
      <w:tr w:rsidR="00E51154" w:rsidTr="0022238D">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1995</w:t>
            </w:r>
          </w:p>
        </w:tc>
        <w:tc>
          <w:tcPr>
            <w:tcW w:w="1667" w:type="pct"/>
          </w:tcPr>
          <w:p w:rsidR="00E51154" w:rsidRDefault="00E51154" w:rsidP="0028280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67,5</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59,3</w:t>
            </w:r>
          </w:p>
        </w:tc>
      </w:tr>
      <w:tr w:rsidR="00E51154" w:rsidTr="0022238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2000</w:t>
            </w:r>
          </w:p>
        </w:tc>
        <w:tc>
          <w:tcPr>
            <w:tcW w:w="1667" w:type="pct"/>
          </w:tcPr>
          <w:p w:rsidR="00E51154" w:rsidRDefault="00E51154" w:rsidP="00282809">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81,2</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71,9</w:t>
            </w:r>
          </w:p>
        </w:tc>
      </w:tr>
      <w:tr w:rsidR="00E51154" w:rsidTr="0022238D">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2001</w:t>
            </w:r>
          </w:p>
        </w:tc>
        <w:tc>
          <w:tcPr>
            <w:tcW w:w="1667" w:type="pct"/>
          </w:tcPr>
          <w:p w:rsidR="00E51154" w:rsidRDefault="00E51154" w:rsidP="0028280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69,2</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73,6</w:t>
            </w:r>
          </w:p>
        </w:tc>
      </w:tr>
      <w:tr w:rsidR="00E51154" w:rsidTr="0022238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2002</w:t>
            </w:r>
          </w:p>
        </w:tc>
        <w:tc>
          <w:tcPr>
            <w:tcW w:w="1667" w:type="pct"/>
          </w:tcPr>
          <w:p w:rsidR="00E51154" w:rsidRDefault="00E51154" w:rsidP="00282809">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73,9</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73,8</w:t>
            </w:r>
          </w:p>
        </w:tc>
      </w:tr>
      <w:tr w:rsidR="00E51154" w:rsidTr="0022238D">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2003</w:t>
            </w:r>
          </w:p>
        </w:tc>
        <w:tc>
          <w:tcPr>
            <w:tcW w:w="1667" w:type="pct"/>
          </w:tcPr>
          <w:p w:rsidR="00E51154" w:rsidRDefault="00E51154" w:rsidP="0028280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63,0</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79,0</w:t>
            </w:r>
          </w:p>
        </w:tc>
      </w:tr>
      <w:tr w:rsidR="00E51154" w:rsidTr="0022238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vertAlign w:val="superscript"/>
              </w:rPr>
            </w:pPr>
            <w:r>
              <w:rPr>
                <w:rFonts w:ascii="Arial" w:hAnsi="Arial" w:cs="Arial"/>
                <w:sz w:val="18"/>
                <w:szCs w:val="18"/>
              </w:rPr>
              <w:t>2004</w:t>
            </w:r>
          </w:p>
        </w:tc>
        <w:tc>
          <w:tcPr>
            <w:tcW w:w="1667" w:type="pct"/>
          </w:tcPr>
          <w:p w:rsidR="00E51154" w:rsidRDefault="00E51154" w:rsidP="00282809">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38,3</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75,1</w:t>
            </w:r>
          </w:p>
        </w:tc>
      </w:tr>
      <w:tr w:rsidR="00E51154" w:rsidTr="0022238D">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2005</w:t>
            </w:r>
          </w:p>
        </w:tc>
        <w:tc>
          <w:tcPr>
            <w:tcW w:w="1667" w:type="pct"/>
          </w:tcPr>
          <w:p w:rsidR="00E51154" w:rsidRDefault="00E51154" w:rsidP="0028280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42,3</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74,0</w:t>
            </w:r>
          </w:p>
        </w:tc>
      </w:tr>
      <w:tr w:rsidR="00E51154" w:rsidTr="0022238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2006</w:t>
            </w:r>
          </w:p>
        </w:tc>
        <w:tc>
          <w:tcPr>
            <w:tcW w:w="1667" w:type="pct"/>
          </w:tcPr>
          <w:p w:rsidR="00E51154" w:rsidRDefault="00E51154" w:rsidP="00282809">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46,4</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84,8</w:t>
            </w:r>
          </w:p>
        </w:tc>
      </w:tr>
      <w:tr w:rsidR="00E51154" w:rsidTr="0022238D">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2007</w:t>
            </w:r>
          </w:p>
        </w:tc>
        <w:tc>
          <w:tcPr>
            <w:tcW w:w="1667" w:type="pct"/>
          </w:tcPr>
          <w:p w:rsidR="00E51154" w:rsidRDefault="00E51154" w:rsidP="0028280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52,2</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79,8</w:t>
            </w:r>
          </w:p>
        </w:tc>
      </w:tr>
      <w:tr w:rsidR="00E51154" w:rsidTr="0022238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2008</w:t>
            </w:r>
          </w:p>
        </w:tc>
        <w:tc>
          <w:tcPr>
            <w:tcW w:w="1667" w:type="pct"/>
          </w:tcPr>
          <w:p w:rsidR="00E51154" w:rsidRDefault="00E51154" w:rsidP="00282809">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46,8</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86,2</w:t>
            </w:r>
          </w:p>
        </w:tc>
      </w:tr>
      <w:tr w:rsidR="00E51154" w:rsidTr="0022238D">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2009</w:t>
            </w:r>
          </w:p>
        </w:tc>
        <w:tc>
          <w:tcPr>
            <w:tcW w:w="1667" w:type="pct"/>
          </w:tcPr>
          <w:p w:rsidR="00E51154" w:rsidRDefault="00E51154" w:rsidP="0028280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57,8</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87,7</w:t>
            </w:r>
          </w:p>
        </w:tc>
      </w:tr>
      <w:tr w:rsidR="00E51154" w:rsidTr="0022238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2010</w:t>
            </w:r>
          </w:p>
        </w:tc>
        <w:tc>
          <w:tcPr>
            <w:tcW w:w="1667" w:type="pct"/>
          </w:tcPr>
          <w:p w:rsidR="00E51154" w:rsidRDefault="00E51154" w:rsidP="00282809">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75,0</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91,2</w:t>
            </w:r>
          </w:p>
        </w:tc>
      </w:tr>
      <w:tr w:rsidR="00E51154" w:rsidTr="0022238D">
        <w:tc>
          <w:tcPr>
            <w:cnfStyle w:val="000010000000" w:firstRow="0" w:lastRow="0" w:firstColumn="0" w:lastColumn="0" w:oddVBand="1" w:evenVBand="0" w:oddHBand="0" w:evenHBand="0" w:firstRowFirstColumn="0" w:firstRowLastColumn="0" w:lastRowFirstColumn="0" w:lastRowLastColumn="0"/>
            <w:tcW w:w="1667"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2011</w:t>
            </w:r>
          </w:p>
        </w:tc>
        <w:tc>
          <w:tcPr>
            <w:tcW w:w="1667" w:type="pct"/>
          </w:tcPr>
          <w:p w:rsidR="00E51154" w:rsidRDefault="00E51154" w:rsidP="00282809">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85,7</w:t>
            </w:r>
          </w:p>
        </w:tc>
        <w:tc>
          <w:tcPr>
            <w:cnfStyle w:val="000010000000" w:firstRow="0" w:lastRow="0" w:firstColumn="0" w:lastColumn="0" w:oddVBand="1" w:evenVBand="0" w:oddHBand="0" w:evenHBand="0" w:firstRowFirstColumn="0" w:firstRowLastColumn="0" w:lastRowFirstColumn="0" w:lastRowLastColumn="0"/>
            <w:tcW w:w="1666" w:type="pct"/>
          </w:tcPr>
          <w:p w:rsidR="00E51154" w:rsidRDefault="00E51154" w:rsidP="00282809">
            <w:pPr>
              <w:spacing w:before="120" w:after="120"/>
              <w:jc w:val="center"/>
              <w:rPr>
                <w:rFonts w:ascii="Arial" w:hAnsi="Arial" w:cs="Arial"/>
                <w:sz w:val="18"/>
                <w:szCs w:val="18"/>
              </w:rPr>
            </w:pPr>
            <w:r>
              <w:rPr>
                <w:rFonts w:ascii="Arial" w:hAnsi="Arial" w:cs="Arial"/>
                <w:sz w:val="18"/>
                <w:szCs w:val="18"/>
              </w:rPr>
              <w:t>83,1</w:t>
            </w:r>
          </w:p>
        </w:tc>
      </w:tr>
    </w:tbl>
    <w:p w:rsidR="00282809" w:rsidRDefault="00282809">
      <w:pPr>
        <w:rPr>
          <w:rFonts w:ascii="Arial" w:hAnsi="Arial"/>
          <w:b/>
          <w:bCs/>
          <w:sz w:val="22"/>
          <w:szCs w:val="22"/>
        </w:rPr>
      </w:pPr>
      <w:r>
        <w:rPr>
          <w:b/>
          <w:bCs/>
          <w:sz w:val="22"/>
          <w:szCs w:val="22"/>
        </w:rPr>
        <w:br w:type="page"/>
      </w:r>
    </w:p>
    <w:p w:rsidR="00E51154" w:rsidRDefault="00E51154" w:rsidP="00E51154">
      <w:pPr>
        <w:pStyle w:val="aa"/>
        <w:spacing w:line="240" w:lineRule="auto"/>
        <w:ind w:firstLine="0"/>
        <w:jc w:val="center"/>
        <w:rPr>
          <w:sz w:val="22"/>
          <w:szCs w:val="22"/>
        </w:rPr>
      </w:pPr>
      <w:r>
        <w:rPr>
          <w:b/>
          <w:bCs/>
          <w:sz w:val="22"/>
          <w:szCs w:val="22"/>
        </w:rPr>
        <w:lastRenderedPageBreak/>
        <w:t>ДИНАМИКА ЭКСПОРТА И ИМПОРТА</w:t>
      </w:r>
      <w:r>
        <w:rPr>
          <w:sz w:val="22"/>
          <w:szCs w:val="22"/>
        </w:rPr>
        <w:br/>
        <w:t>(млн. долларов США)</w:t>
      </w:r>
    </w:p>
    <w:p w:rsidR="0086096D" w:rsidRDefault="0086096D" w:rsidP="00E51154">
      <w:pPr>
        <w:pStyle w:val="aa"/>
        <w:spacing w:line="240" w:lineRule="auto"/>
        <w:ind w:firstLine="0"/>
        <w:jc w:val="center"/>
        <w:rPr>
          <w:sz w:val="22"/>
          <w:szCs w:val="22"/>
        </w:rPr>
      </w:pPr>
    </w:p>
    <w:p w:rsidR="00E51154" w:rsidRDefault="00E51154" w:rsidP="00E51154">
      <w:pPr>
        <w:spacing w:before="120" w:after="120"/>
        <w:jc w:val="center"/>
        <w:rPr>
          <w:rFonts w:ascii="Arial" w:hAnsi="Arial" w:cs="Arial"/>
          <w:sz w:val="22"/>
          <w:szCs w:val="22"/>
        </w:rPr>
      </w:pPr>
      <w:r>
        <w:rPr>
          <w:rFonts w:cstheme="minorBidi"/>
          <w:noProof/>
        </w:rPr>
        <w:drawing>
          <wp:anchor distT="0" distB="0" distL="114300" distR="114300" simplePos="0" relativeHeight="251793408" behindDoc="0" locked="0" layoutInCell="1" allowOverlap="1">
            <wp:simplePos x="0" y="0"/>
            <wp:positionH relativeFrom="column">
              <wp:posOffset>-60258</wp:posOffset>
            </wp:positionH>
            <wp:positionV relativeFrom="paragraph">
              <wp:posOffset>74729</wp:posOffset>
            </wp:positionV>
            <wp:extent cx="9168932" cy="4196816"/>
            <wp:effectExtent l="38100" t="19050" r="13168" b="0"/>
            <wp:wrapNone/>
            <wp:docPr id="3" name="Объект 1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p>
    <w:p w:rsidR="00E51154" w:rsidRDefault="00E51154" w:rsidP="00E51154">
      <w:pPr>
        <w:spacing w:before="120" w:after="120"/>
        <w:jc w:val="center"/>
        <w:rPr>
          <w:rFonts w:ascii="Arial" w:hAnsi="Arial" w:cs="Arial"/>
          <w:sz w:val="22"/>
          <w:szCs w:val="22"/>
        </w:rPr>
      </w:pPr>
    </w:p>
    <w:p w:rsidR="00E51154" w:rsidRDefault="00E51154" w:rsidP="00E51154">
      <w:pPr>
        <w:spacing w:before="120" w:after="120"/>
        <w:jc w:val="center"/>
        <w:rPr>
          <w:rFonts w:ascii="Arial" w:hAnsi="Arial" w:cs="Arial"/>
          <w:sz w:val="22"/>
          <w:szCs w:val="22"/>
        </w:rPr>
      </w:pPr>
    </w:p>
    <w:p w:rsidR="00E51154" w:rsidRDefault="00E51154" w:rsidP="00E51154">
      <w:pPr>
        <w:spacing w:before="120" w:after="120"/>
        <w:jc w:val="center"/>
        <w:rPr>
          <w:rFonts w:ascii="Arial" w:hAnsi="Arial" w:cs="Arial"/>
          <w:sz w:val="22"/>
          <w:szCs w:val="22"/>
        </w:rPr>
      </w:pPr>
    </w:p>
    <w:p w:rsidR="00E51154" w:rsidRDefault="00E51154" w:rsidP="00E51154">
      <w:pPr>
        <w:spacing w:before="120" w:after="120"/>
        <w:jc w:val="center"/>
        <w:rPr>
          <w:rFonts w:ascii="Arial" w:hAnsi="Arial" w:cs="Arial"/>
          <w:sz w:val="22"/>
          <w:szCs w:val="22"/>
        </w:rPr>
      </w:pPr>
    </w:p>
    <w:p w:rsidR="00E51154" w:rsidRDefault="00E51154" w:rsidP="00E51154">
      <w:pPr>
        <w:spacing w:before="120" w:after="120"/>
        <w:jc w:val="center"/>
        <w:rPr>
          <w:rFonts w:ascii="Arial" w:hAnsi="Arial" w:cs="Arial"/>
          <w:sz w:val="22"/>
          <w:szCs w:val="22"/>
        </w:rPr>
      </w:pPr>
    </w:p>
    <w:p w:rsidR="00E51154" w:rsidRDefault="00E51154" w:rsidP="00E51154">
      <w:pPr>
        <w:spacing w:before="120" w:after="120"/>
        <w:jc w:val="center"/>
        <w:rPr>
          <w:rFonts w:ascii="Arial" w:hAnsi="Arial" w:cs="Arial"/>
          <w:sz w:val="22"/>
          <w:szCs w:val="22"/>
        </w:rPr>
      </w:pPr>
    </w:p>
    <w:p w:rsidR="00E51154" w:rsidRDefault="00E51154" w:rsidP="00E51154">
      <w:pPr>
        <w:pStyle w:val="aa"/>
        <w:spacing w:line="240" w:lineRule="auto"/>
        <w:rPr>
          <w:sz w:val="22"/>
          <w:szCs w:val="22"/>
        </w:rPr>
      </w:pPr>
    </w:p>
    <w:p w:rsidR="00E51154" w:rsidRDefault="00E51154" w:rsidP="00E51154">
      <w:pPr>
        <w:pStyle w:val="aa"/>
        <w:spacing w:line="240" w:lineRule="auto"/>
        <w:rPr>
          <w:sz w:val="22"/>
          <w:szCs w:val="22"/>
        </w:rPr>
      </w:pPr>
    </w:p>
    <w:p w:rsidR="00E51154" w:rsidRDefault="00E51154" w:rsidP="00E51154">
      <w:pPr>
        <w:pStyle w:val="aa"/>
        <w:spacing w:line="240" w:lineRule="auto"/>
        <w:rPr>
          <w:sz w:val="22"/>
          <w:szCs w:val="22"/>
        </w:rPr>
      </w:pPr>
    </w:p>
    <w:p w:rsidR="00E51154" w:rsidRDefault="00E51154" w:rsidP="00E51154">
      <w:pPr>
        <w:pStyle w:val="aa"/>
        <w:spacing w:line="240" w:lineRule="auto"/>
        <w:rPr>
          <w:sz w:val="22"/>
          <w:szCs w:val="22"/>
        </w:rPr>
      </w:pPr>
    </w:p>
    <w:p w:rsidR="00E51154" w:rsidRDefault="00E51154" w:rsidP="00E51154">
      <w:pPr>
        <w:pStyle w:val="aa"/>
        <w:spacing w:line="240" w:lineRule="auto"/>
        <w:rPr>
          <w:sz w:val="22"/>
          <w:szCs w:val="22"/>
        </w:rPr>
      </w:pPr>
    </w:p>
    <w:p w:rsidR="00E51154" w:rsidRDefault="00E51154" w:rsidP="00E51154">
      <w:pPr>
        <w:rPr>
          <w:rFonts w:ascii="Arial" w:hAnsi="Arial" w:cs="Arial"/>
          <w:sz w:val="22"/>
          <w:szCs w:val="22"/>
        </w:rPr>
      </w:pPr>
      <w:r>
        <w:rPr>
          <w:rFonts w:ascii="Arial" w:hAnsi="Arial" w:cs="Arial"/>
          <w:sz w:val="22"/>
          <w:szCs w:val="22"/>
        </w:rPr>
        <w:br w:type="page"/>
      </w:r>
    </w:p>
    <w:p w:rsidR="00E51154" w:rsidRDefault="00E51154" w:rsidP="00E51154">
      <w:pPr>
        <w:pStyle w:val="aa"/>
        <w:spacing w:line="240" w:lineRule="auto"/>
        <w:rPr>
          <w:sz w:val="22"/>
          <w:szCs w:val="22"/>
        </w:rPr>
      </w:pPr>
      <w:r>
        <w:rPr>
          <w:sz w:val="22"/>
          <w:szCs w:val="22"/>
        </w:rPr>
        <w:lastRenderedPageBreak/>
        <w:t>Одним из важнейших элементов внешнеэкономической деятельности является поступление иностранных инвестиций.</w:t>
      </w:r>
    </w:p>
    <w:p w:rsidR="00E51154" w:rsidRDefault="00E51154" w:rsidP="00E51154">
      <w:pPr>
        <w:pStyle w:val="aa"/>
        <w:spacing w:line="240" w:lineRule="auto"/>
        <w:rPr>
          <w:sz w:val="22"/>
          <w:szCs w:val="22"/>
        </w:rPr>
      </w:pPr>
      <w:r>
        <w:rPr>
          <w:sz w:val="22"/>
          <w:szCs w:val="22"/>
        </w:rPr>
        <w:t>В 2011 году от зарубежных партнеров на развитие экономики области поступило 67501,3 тыс. долларов США. Всего же за период с 1992 г. по 2011 г. накопления иностранных инвесторов достигли 231005,7 тыс. долларов США.</w:t>
      </w:r>
    </w:p>
    <w:p w:rsidR="00E51154" w:rsidRDefault="00E51154" w:rsidP="00E51154">
      <w:pPr>
        <w:pStyle w:val="aa"/>
        <w:spacing w:line="240" w:lineRule="auto"/>
        <w:rPr>
          <w:sz w:val="22"/>
          <w:szCs w:val="22"/>
        </w:rPr>
      </w:pPr>
    </w:p>
    <w:p w:rsidR="00E51154" w:rsidRDefault="00E51154" w:rsidP="00E51154">
      <w:pPr>
        <w:pStyle w:val="22"/>
        <w:spacing w:line="240" w:lineRule="auto"/>
        <w:jc w:val="center"/>
        <w:rPr>
          <w:rFonts w:cs="Arial"/>
          <w:sz w:val="22"/>
          <w:szCs w:val="22"/>
        </w:rPr>
      </w:pPr>
      <w:r>
        <w:rPr>
          <w:rFonts w:cs="Arial"/>
          <w:b/>
          <w:bCs/>
          <w:sz w:val="22"/>
          <w:szCs w:val="22"/>
        </w:rPr>
        <w:t>ПОСТУПЛЕНИЕ ИНОСТРАННЫХ ИНВЕСТИЦИЙ</w:t>
      </w:r>
      <w:r>
        <w:rPr>
          <w:rFonts w:cs="Arial"/>
          <w:sz w:val="22"/>
          <w:szCs w:val="22"/>
        </w:rPr>
        <w:br/>
        <w:t>(тысяч долларов США)</w:t>
      </w:r>
    </w:p>
    <w:p w:rsidR="00E51154" w:rsidRDefault="00E51154" w:rsidP="00E51154">
      <w:pPr>
        <w:pStyle w:val="22"/>
        <w:spacing w:line="240" w:lineRule="auto"/>
        <w:rPr>
          <w:rFonts w:cs="Arial"/>
          <w:sz w:val="22"/>
          <w:szCs w:val="22"/>
        </w:rPr>
      </w:pPr>
      <w:r>
        <w:rPr>
          <w:rFonts w:cs="Arial"/>
          <w:noProof/>
          <w:sz w:val="22"/>
          <w:szCs w:val="22"/>
        </w:rPr>
        <w:drawing>
          <wp:anchor distT="0" distB="0" distL="114300" distR="114300" simplePos="0" relativeHeight="251794432" behindDoc="0" locked="0" layoutInCell="1" allowOverlap="1">
            <wp:simplePos x="0" y="0"/>
            <wp:positionH relativeFrom="column">
              <wp:posOffset>-53207</wp:posOffset>
            </wp:positionH>
            <wp:positionV relativeFrom="paragraph">
              <wp:posOffset>101201</wp:posOffset>
            </wp:positionV>
            <wp:extent cx="9011152" cy="2288215"/>
            <wp:effectExtent l="38100" t="19050" r="18548" b="0"/>
            <wp:wrapNone/>
            <wp:docPr id="4" name="Объект 1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22"/>
        <w:spacing w:line="240" w:lineRule="auto"/>
        <w:rPr>
          <w:rFonts w:cs="Arial"/>
          <w:sz w:val="22"/>
          <w:szCs w:val="22"/>
        </w:rPr>
      </w:pPr>
    </w:p>
    <w:p w:rsidR="00E51154" w:rsidRDefault="00E51154" w:rsidP="00E51154">
      <w:pPr>
        <w:pStyle w:val="aa"/>
        <w:spacing w:before="120" w:line="240" w:lineRule="auto"/>
        <w:rPr>
          <w:sz w:val="22"/>
          <w:szCs w:val="22"/>
        </w:rPr>
      </w:pPr>
    </w:p>
    <w:p w:rsidR="00E51154" w:rsidRDefault="00E51154" w:rsidP="00E51154">
      <w:pPr>
        <w:pStyle w:val="aa"/>
        <w:spacing w:before="120" w:line="240" w:lineRule="auto"/>
        <w:rPr>
          <w:sz w:val="22"/>
          <w:szCs w:val="22"/>
        </w:rPr>
      </w:pPr>
    </w:p>
    <w:p w:rsidR="00E51154" w:rsidRDefault="00E51154" w:rsidP="00E51154">
      <w:pPr>
        <w:pStyle w:val="aa"/>
        <w:spacing w:before="120" w:line="240" w:lineRule="auto"/>
        <w:rPr>
          <w:sz w:val="22"/>
          <w:szCs w:val="22"/>
        </w:rPr>
      </w:pPr>
    </w:p>
    <w:p w:rsidR="00E51154" w:rsidRDefault="00E51154" w:rsidP="00E51154">
      <w:pPr>
        <w:pStyle w:val="aa"/>
        <w:spacing w:before="120" w:line="240" w:lineRule="auto"/>
        <w:rPr>
          <w:sz w:val="22"/>
          <w:szCs w:val="22"/>
        </w:rPr>
      </w:pPr>
    </w:p>
    <w:p w:rsidR="00E51154" w:rsidRPr="00D70517" w:rsidRDefault="00E51154" w:rsidP="00E51154">
      <w:pPr>
        <w:pStyle w:val="aa"/>
        <w:spacing w:line="240" w:lineRule="auto"/>
        <w:rPr>
          <w:sz w:val="22"/>
          <w:szCs w:val="26"/>
        </w:rPr>
      </w:pPr>
      <w:r w:rsidRPr="00D70517">
        <w:rPr>
          <w:sz w:val="22"/>
          <w:szCs w:val="26"/>
        </w:rPr>
        <w:t xml:space="preserve">За период </w:t>
      </w:r>
      <w:r>
        <w:rPr>
          <w:sz w:val="22"/>
          <w:szCs w:val="26"/>
        </w:rPr>
        <w:t xml:space="preserve">с </w:t>
      </w:r>
      <w:r w:rsidRPr="00D70517">
        <w:rPr>
          <w:sz w:val="22"/>
          <w:szCs w:val="26"/>
        </w:rPr>
        <w:t>2001</w:t>
      </w:r>
      <w:r>
        <w:rPr>
          <w:sz w:val="22"/>
          <w:szCs w:val="26"/>
        </w:rPr>
        <w:t xml:space="preserve"> по </w:t>
      </w:r>
      <w:r w:rsidRPr="00D70517">
        <w:rPr>
          <w:sz w:val="22"/>
          <w:szCs w:val="26"/>
        </w:rPr>
        <w:t>2004 год наблюдалась тенденция роста поступления иностранных инвестиций относительно предыдущего г</w:t>
      </w:r>
      <w:r w:rsidRPr="00D70517">
        <w:rPr>
          <w:sz w:val="22"/>
          <w:szCs w:val="26"/>
        </w:rPr>
        <w:t>о</w:t>
      </w:r>
      <w:r w:rsidRPr="00D70517">
        <w:rPr>
          <w:sz w:val="22"/>
          <w:szCs w:val="26"/>
        </w:rPr>
        <w:t xml:space="preserve">да. В 2001 году </w:t>
      </w:r>
      <w:r>
        <w:rPr>
          <w:sz w:val="22"/>
          <w:szCs w:val="26"/>
        </w:rPr>
        <w:t>при</w:t>
      </w:r>
      <w:r w:rsidRPr="00D70517">
        <w:rPr>
          <w:sz w:val="22"/>
          <w:szCs w:val="26"/>
        </w:rPr>
        <w:t xml:space="preserve">рост общего объёма поступившего иностранного капитала составил </w:t>
      </w:r>
      <w:r>
        <w:rPr>
          <w:sz w:val="22"/>
          <w:szCs w:val="26"/>
        </w:rPr>
        <w:t xml:space="preserve">соответственно </w:t>
      </w:r>
      <w:r w:rsidRPr="00D70517">
        <w:rPr>
          <w:sz w:val="22"/>
          <w:szCs w:val="26"/>
        </w:rPr>
        <w:t xml:space="preserve">41,4%, в 2002 – 7,9 раза, в 2003 – 37,5%, в 2004 – 2,0 раза. Однако в 2005 году поступило только 212,5 тыс. долларов США. </w:t>
      </w:r>
    </w:p>
    <w:p w:rsidR="00E51154" w:rsidRPr="00D70517" w:rsidRDefault="00E51154" w:rsidP="00E51154">
      <w:pPr>
        <w:pStyle w:val="aa"/>
        <w:spacing w:line="240" w:lineRule="auto"/>
        <w:rPr>
          <w:sz w:val="22"/>
          <w:szCs w:val="22"/>
        </w:rPr>
      </w:pPr>
      <w:r w:rsidRPr="00D70517">
        <w:rPr>
          <w:sz w:val="22"/>
          <w:szCs w:val="22"/>
        </w:rPr>
        <w:t xml:space="preserve">В 2006 году ситуация резко изменилась: поступило 82951,2 тыс. долларов США, в 2007 – 84046,5, в 2008 – 206092,6 тыс. долларов США. Однако, в «кризисном» 2009 году отмечен заметный спад поступлений от иностранных инвесторов в экономику области – лишь 27119,2 тыс. долларов США. Но в 2010 году наблюдался значительный рост притока иностранных инвестиций в экономику области – 102820,5 тыс. долларов США. </w:t>
      </w:r>
    </w:p>
    <w:p w:rsidR="00E51154" w:rsidRDefault="00E51154" w:rsidP="00E51154">
      <w:pPr>
        <w:pStyle w:val="aa"/>
        <w:spacing w:line="240" w:lineRule="auto"/>
        <w:rPr>
          <w:sz w:val="22"/>
          <w:szCs w:val="22"/>
        </w:rPr>
      </w:pPr>
      <w:r w:rsidRPr="00D70517">
        <w:rPr>
          <w:sz w:val="22"/>
          <w:szCs w:val="22"/>
        </w:rPr>
        <w:t xml:space="preserve">В 2011 году </w:t>
      </w:r>
      <w:r>
        <w:rPr>
          <w:sz w:val="22"/>
          <w:szCs w:val="22"/>
        </w:rPr>
        <w:t xml:space="preserve">по сравнению с предыдущим годом </w:t>
      </w:r>
      <w:r w:rsidRPr="00D70517">
        <w:rPr>
          <w:sz w:val="22"/>
          <w:szCs w:val="22"/>
        </w:rPr>
        <w:t xml:space="preserve">вложения инвесторов в экономику области сократились </w:t>
      </w:r>
      <w:r>
        <w:rPr>
          <w:sz w:val="22"/>
          <w:szCs w:val="22"/>
        </w:rPr>
        <w:t xml:space="preserve">на треть </w:t>
      </w:r>
      <w:r w:rsidRPr="00D70517">
        <w:rPr>
          <w:sz w:val="22"/>
          <w:szCs w:val="22"/>
        </w:rPr>
        <w:t xml:space="preserve">и составили 67501,3 тыс. долларов США. </w:t>
      </w:r>
      <w:r w:rsidRPr="00D70517">
        <w:rPr>
          <w:rFonts w:cs="Arial"/>
          <w:sz w:val="22"/>
        </w:rPr>
        <w:t>Основной объём иностранных инвестиций, поступивших в область, получили организации города Ульяно</w:t>
      </w:r>
      <w:r w:rsidRPr="00D70517">
        <w:rPr>
          <w:rFonts w:cs="Arial"/>
          <w:sz w:val="22"/>
        </w:rPr>
        <w:t>в</w:t>
      </w:r>
      <w:r w:rsidRPr="00D70517">
        <w:rPr>
          <w:rFonts w:cs="Arial"/>
          <w:sz w:val="22"/>
        </w:rPr>
        <w:t>ска – 88,1%.</w:t>
      </w:r>
    </w:p>
    <w:p w:rsidR="00E51154" w:rsidRPr="0013601A" w:rsidRDefault="00E51154" w:rsidP="00E51154">
      <w:pPr>
        <w:ind w:firstLine="720"/>
        <w:jc w:val="both"/>
        <w:rPr>
          <w:rFonts w:ascii="Arial" w:hAnsi="Arial" w:cs="Arial"/>
          <w:sz w:val="22"/>
          <w:szCs w:val="26"/>
        </w:rPr>
      </w:pPr>
      <w:r w:rsidRPr="0013601A">
        <w:rPr>
          <w:rFonts w:ascii="Arial" w:hAnsi="Arial" w:cs="Arial"/>
          <w:sz w:val="22"/>
          <w:szCs w:val="26"/>
        </w:rPr>
        <w:t>Основными странами-инвесторами остаются Германия и Кипр</w:t>
      </w:r>
      <w:r>
        <w:rPr>
          <w:rFonts w:ascii="Arial" w:hAnsi="Arial" w:cs="Arial"/>
          <w:sz w:val="22"/>
          <w:szCs w:val="26"/>
        </w:rPr>
        <w:t>.</w:t>
      </w:r>
      <w:r w:rsidR="00E82093">
        <w:rPr>
          <w:rFonts w:ascii="Arial" w:hAnsi="Arial" w:cs="Arial"/>
          <w:sz w:val="22"/>
          <w:szCs w:val="26"/>
        </w:rPr>
        <w:t xml:space="preserve"> </w:t>
      </w:r>
      <w:r>
        <w:rPr>
          <w:rFonts w:ascii="Arial" w:hAnsi="Arial" w:cs="Arial"/>
          <w:sz w:val="22"/>
          <w:szCs w:val="26"/>
        </w:rPr>
        <w:t>И</w:t>
      </w:r>
      <w:r w:rsidRPr="0013601A">
        <w:rPr>
          <w:rFonts w:ascii="Arial" w:hAnsi="Arial" w:cs="Arial"/>
          <w:sz w:val="22"/>
          <w:szCs w:val="26"/>
        </w:rPr>
        <w:t>нвестиции из этих государств занимают 81,8% в общем объёме поступлений в 2011 году.</w:t>
      </w:r>
    </w:p>
    <w:p w:rsidR="00E51154" w:rsidRPr="0013601A" w:rsidRDefault="00E51154" w:rsidP="00E51154">
      <w:pPr>
        <w:ind w:firstLine="720"/>
        <w:jc w:val="both"/>
        <w:rPr>
          <w:rFonts w:ascii="Arial" w:hAnsi="Arial" w:cs="Arial"/>
          <w:sz w:val="22"/>
          <w:szCs w:val="26"/>
        </w:rPr>
      </w:pPr>
      <w:r w:rsidRPr="0013601A">
        <w:rPr>
          <w:rFonts w:ascii="Arial" w:hAnsi="Arial" w:cs="Arial"/>
          <w:sz w:val="22"/>
          <w:szCs w:val="26"/>
        </w:rPr>
        <w:t>В пятёрку основных инвесторов также входит Австрия (9,3% в общем объёме поступлений иностранных инвестиций в 2011 году), Нидерланды (5,1%) и Дания (3,2%).  Эти же страны занимали лидирующие позиции и в прошлом году.</w:t>
      </w:r>
    </w:p>
    <w:p w:rsidR="00E51154" w:rsidRPr="0013601A" w:rsidRDefault="00E51154" w:rsidP="00E51154">
      <w:pPr>
        <w:pStyle w:val="aa"/>
        <w:spacing w:line="240" w:lineRule="auto"/>
        <w:rPr>
          <w:rFonts w:cs="Arial"/>
          <w:szCs w:val="22"/>
        </w:rPr>
      </w:pPr>
      <w:r w:rsidRPr="0013601A">
        <w:rPr>
          <w:rFonts w:cs="Arial"/>
          <w:sz w:val="22"/>
          <w:szCs w:val="26"/>
        </w:rPr>
        <w:t>На долю Швейцарии, Литовской Республики, Объединённых Арабских Эмиратов, Украины, Беларуси, Виргинских островов, Че</w:t>
      </w:r>
      <w:r w:rsidRPr="0013601A">
        <w:rPr>
          <w:rFonts w:cs="Arial"/>
          <w:sz w:val="22"/>
          <w:szCs w:val="26"/>
        </w:rPr>
        <w:t>ш</w:t>
      </w:r>
      <w:r w:rsidRPr="0013601A">
        <w:rPr>
          <w:rFonts w:cs="Arial"/>
          <w:sz w:val="22"/>
          <w:szCs w:val="26"/>
        </w:rPr>
        <w:t>ской Республики приходится 0,7% в объёме иностранных инвестиций, поступивших в область в 2011 году.</w:t>
      </w:r>
    </w:p>
    <w:p w:rsidR="00E51154" w:rsidRDefault="00E51154" w:rsidP="00E51154">
      <w:pPr>
        <w:pStyle w:val="aa"/>
        <w:spacing w:line="240" w:lineRule="auto"/>
        <w:rPr>
          <w:sz w:val="22"/>
          <w:szCs w:val="22"/>
        </w:rPr>
      </w:pPr>
    </w:p>
    <w:p w:rsidR="00E51154" w:rsidRDefault="00E51154" w:rsidP="00E51154">
      <w:pPr>
        <w:pStyle w:val="aa"/>
        <w:spacing w:line="240" w:lineRule="auto"/>
        <w:rPr>
          <w:sz w:val="22"/>
          <w:szCs w:val="22"/>
        </w:rPr>
      </w:pPr>
    </w:p>
    <w:p w:rsidR="00E51154" w:rsidRDefault="00E51154" w:rsidP="00E51154">
      <w:pPr>
        <w:pStyle w:val="aa"/>
        <w:spacing w:line="240" w:lineRule="auto"/>
        <w:rPr>
          <w:color w:val="000000"/>
          <w:sz w:val="22"/>
        </w:rPr>
      </w:pPr>
      <w:r w:rsidRPr="00E91885">
        <w:rPr>
          <w:sz w:val="22"/>
          <w:szCs w:val="26"/>
        </w:rPr>
        <w:t>В 2011 году треть объёма поступивших из-за рубежа инвестиций было направлено в сферу производства транспортных средств и оборудования.</w:t>
      </w:r>
      <w:r w:rsidR="00E82093">
        <w:rPr>
          <w:sz w:val="22"/>
          <w:szCs w:val="26"/>
        </w:rPr>
        <w:t xml:space="preserve"> </w:t>
      </w:r>
      <w:bookmarkStart w:id="42" w:name="_GoBack"/>
      <w:bookmarkEnd w:id="42"/>
      <w:r w:rsidRPr="00E91885">
        <w:rPr>
          <w:sz w:val="22"/>
          <w:szCs w:val="26"/>
        </w:rPr>
        <w:t>От 4 до 11% иностранных инвестиций  поступило на развитие организаций, осуществляющих оптовую и розничную то</w:t>
      </w:r>
      <w:r w:rsidRPr="00E91885">
        <w:rPr>
          <w:sz w:val="22"/>
          <w:szCs w:val="26"/>
        </w:rPr>
        <w:t>р</w:t>
      </w:r>
      <w:r w:rsidRPr="00E91885">
        <w:rPr>
          <w:sz w:val="22"/>
          <w:szCs w:val="26"/>
        </w:rPr>
        <w:t>говлю, финансовую деятельность, на развитие транспорта и связи, производство прочих неметаллических минеральных продуктов.</w:t>
      </w:r>
    </w:p>
    <w:p w:rsidR="00E51154" w:rsidRDefault="00E51154" w:rsidP="00E51154">
      <w:pPr>
        <w:pStyle w:val="aa"/>
        <w:spacing w:line="240" w:lineRule="auto"/>
        <w:rPr>
          <w:color w:val="000000"/>
          <w:sz w:val="22"/>
        </w:rPr>
      </w:pPr>
      <w:r>
        <w:rPr>
          <w:color w:val="000000"/>
          <w:sz w:val="22"/>
        </w:rPr>
        <w:t>В 2011 году п</w:t>
      </w:r>
      <w:r w:rsidRPr="0013601A">
        <w:rPr>
          <w:color w:val="000000"/>
          <w:sz w:val="22"/>
        </w:rPr>
        <w:t>реобладающий объем поступившего в область иностранного капитала получили организации с видом деятельности «обрабатывающие производства» из Германии – 27929,1 тыс. долларов США, Дании – 2179,2, «добыча прочих полезных ископаемых» из Австри</w:t>
      </w:r>
      <w:r>
        <w:rPr>
          <w:color w:val="000000"/>
          <w:sz w:val="22"/>
        </w:rPr>
        <w:t>и</w:t>
      </w:r>
      <w:r w:rsidRPr="0013601A">
        <w:rPr>
          <w:color w:val="000000"/>
          <w:sz w:val="22"/>
        </w:rPr>
        <w:t xml:space="preserve"> и Нидерланд</w:t>
      </w:r>
      <w:r>
        <w:rPr>
          <w:color w:val="000000"/>
          <w:sz w:val="22"/>
        </w:rPr>
        <w:t>о</w:t>
      </w:r>
      <w:proofErr w:type="gramStart"/>
      <w:r>
        <w:rPr>
          <w:color w:val="000000"/>
          <w:sz w:val="22"/>
        </w:rPr>
        <w:t>в–</w:t>
      </w:r>
      <w:proofErr w:type="gramEnd"/>
      <w:r>
        <w:rPr>
          <w:color w:val="000000"/>
          <w:sz w:val="22"/>
        </w:rPr>
        <w:t xml:space="preserve"> </w:t>
      </w:r>
      <w:r w:rsidRPr="0013601A">
        <w:rPr>
          <w:color w:val="000000"/>
          <w:sz w:val="22"/>
        </w:rPr>
        <w:t>соответственно 6000,0 и 3415,9 тыс. долларов США. Из Кипра в сферу деятельности «операции с недвижимым имуществом, аренд</w:t>
      </w:r>
      <w:r>
        <w:rPr>
          <w:color w:val="000000"/>
          <w:sz w:val="22"/>
        </w:rPr>
        <w:t>а</w:t>
      </w:r>
      <w:r w:rsidRPr="0013601A">
        <w:rPr>
          <w:color w:val="000000"/>
          <w:sz w:val="22"/>
        </w:rPr>
        <w:t xml:space="preserve"> и представление услуг» </w:t>
      </w:r>
      <w:r>
        <w:rPr>
          <w:color w:val="000000"/>
          <w:sz w:val="22"/>
        </w:rPr>
        <w:t xml:space="preserve">было направлено </w:t>
      </w:r>
      <w:r w:rsidRPr="0013601A">
        <w:rPr>
          <w:color w:val="000000"/>
          <w:sz w:val="22"/>
        </w:rPr>
        <w:t xml:space="preserve"> 22526,9</w:t>
      </w:r>
      <w:r>
        <w:rPr>
          <w:color w:val="000000"/>
          <w:sz w:val="22"/>
        </w:rPr>
        <w:t xml:space="preserve"> тыс. долларов США</w:t>
      </w:r>
      <w:r w:rsidRPr="0013601A">
        <w:rPr>
          <w:color w:val="000000"/>
          <w:sz w:val="22"/>
        </w:rPr>
        <w:t xml:space="preserve">, «транспорт и связь»  – 2697,3, «финансовое посредничество» </w:t>
      </w:r>
      <w:r>
        <w:rPr>
          <w:color w:val="000000"/>
          <w:sz w:val="22"/>
        </w:rPr>
        <w:t>–</w:t>
      </w:r>
      <w:r w:rsidRPr="0013601A">
        <w:rPr>
          <w:color w:val="000000"/>
          <w:sz w:val="22"/>
        </w:rPr>
        <w:t xml:space="preserve"> 2078,4, тыс. долларов США.</w:t>
      </w:r>
    </w:p>
    <w:p w:rsidR="00E51154" w:rsidRDefault="00E51154" w:rsidP="00E51154">
      <w:pPr>
        <w:pStyle w:val="aa"/>
        <w:spacing w:line="240" w:lineRule="auto"/>
        <w:rPr>
          <w:sz w:val="22"/>
          <w:szCs w:val="22"/>
        </w:rPr>
      </w:pPr>
      <w:r>
        <w:rPr>
          <w:sz w:val="22"/>
          <w:szCs w:val="22"/>
        </w:rPr>
        <w:t>В накопленных иностранных инвестициях удельный вес прямых инвестиций составил 62,9%, на долю прочих инвестиций прих</w:t>
      </w:r>
      <w:r>
        <w:rPr>
          <w:sz w:val="22"/>
          <w:szCs w:val="22"/>
        </w:rPr>
        <w:t>о</w:t>
      </w:r>
      <w:r>
        <w:rPr>
          <w:sz w:val="22"/>
          <w:szCs w:val="22"/>
        </w:rPr>
        <w:t>дилось 37,1%.</w:t>
      </w:r>
    </w:p>
    <w:p w:rsidR="00E51154" w:rsidRPr="009C77B4" w:rsidRDefault="00E51154" w:rsidP="00E51154">
      <w:pPr>
        <w:pStyle w:val="aa"/>
        <w:spacing w:line="240" w:lineRule="auto"/>
        <w:rPr>
          <w:sz w:val="28"/>
          <w:szCs w:val="22"/>
        </w:rPr>
      </w:pPr>
      <w:r w:rsidRPr="009C77B4">
        <w:rPr>
          <w:sz w:val="22"/>
        </w:rPr>
        <w:t>Наибольший объём накопленных на 1 января 2012 года иностранных инвестиций был направлен в сферу деятельности обраб</w:t>
      </w:r>
      <w:r w:rsidRPr="009C77B4">
        <w:rPr>
          <w:sz w:val="22"/>
        </w:rPr>
        <w:t>а</w:t>
      </w:r>
      <w:r w:rsidRPr="009C77B4">
        <w:rPr>
          <w:sz w:val="22"/>
        </w:rPr>
        <w:t>тывающие производства (34,9 % от общего объёма накопленных иностранных инвестиций), операции с недвижимым имуществом аренду и представление услуг (18,8 %), транспорта и связи  (18,0 %), добычу полезных ископаемых  (11,5 %).</w:t>
      </w:r>
    </w:p>
    <w:p w:rsidR="00E51154" w:rsidRPr="00E91885" w:rsidRDefault="00E51154" w:rsidP="00E51154">
      <w:pPr>
        <w:pStyle w:val="aa"/>
        <w:spacing w:line="240" w:lineRule="auto"/>
        <w:rPr>
          <w:sz w:val="22"/>
          <w:szCs w:val="22"/>
        </w:rPr>
      </w:pPr>
      <w:r w:rsidRPr="00BD2AB3">
        <w:rPr>
          <w:sz w:val="22"/>
          <w:szCs w:val="22"/>
        </w:rPr>
        <w:t>Вложения областного капитала за пределами страны в 201</w:t>
      </w:r>
      <w:r>
        <w:rPr>
          <w:sz w:val="22"/>
          <w:szCs w:val="22"/>
        </w:rPr>
        <w:t>1</w:t>
      </w:r>
      <w:r w:rsidRPr="00BD2AB3">
        <w:rPr>
          <w:sz w:val="22"/>
          <w:szCs w:val="22"/>
        </w:rPr>
        <w:t xml:space="preserve"> году составили </w:t>
      </w:r>
      <w:r>
        <w:rPr>
          <w:sz w:val="22"/>
          <w:szCs w:val="22"/>
        </w:rPr>
        <w:t>54983</w:t>
      </w:r>
      <w:r w:rsidRPr="00BD2AB3">
        <w:rPr>
          <w:sz w:val="22"/>
          <w:szCs w:val="22"/>
        </w:rPr>
        <w:t>,0 тыс. долларов США,</w:t>
      </w:r>
      <w:r>
        <w:rPr>
          <w:sz w:val="22"/>
          <w:szCs w:val="22"/>
        </w:rPr>
        <w:t xml:space="preserve"> из них 54719,0 – прочие инвестиции (99,5% </w:t>
      </w:r>
      <w:r w:rsidRPr="00E91885">
        <w:rPr>
          <w:sz w:val="22"/>
          <w:szCs w:val="26"/>
        </w:rPr>
        <w:t>от всего объёма направленных инвестиций за рубеж)</w:t>
      </w:r>
      <w:r w:rsidRPr="00BD2AB3">
        <w:rPr>
          <w:sz w:val="22"/>
          <w:szCs w:val="22"/>
        </w:rPr>
        <w:t>. Общий накопленный капитал области за рубежом на 1 января 201</w:t>
      </w:r>
      <w:r>
        <w:rPr>
          <w:sz w:val="22"/>
          <w:szCs w:val="22"/>
        </w:rPr>
        <w:t>2</w:t>
      </w:r>
      <w:r w:rsidRPr="00BD2AB3">
        <w:rPr>
          <w:sz w:val="22"/>
          <w:szCs w:val="22"/>
        </w:rPr>
        <w:t xml:space="preserve"> года достиг </w:t>
      </w:r>
      <w:r>
        <w:rPr>
          <w:sz w:val="22"/>
          <w:szCs w:val="22"/>
        </w:rPr>
        <w:t>99033</w:t>
      </w:r>
      <w:r w:rsidRPr="00BD2AB3">
        <w:rPr>
          <w:sz w:val="22"/>
          <w:szCs w:val="22"/>
        </w:rPr>
        <w:t>,</w:t>
      </w:r>
      <w:r>
        <w:rPr>
          <w:sz w:val="22"/>
          <w:szCs w:val="22"/>
        </w:rPr>
        <w:t>4</w:t>
      </w:r>
      <w:r w:rsidRPr="00BD2AB3">
        <w:rPr>
          <w:sz w:val="22"/>
          <w:szCs w:val="22"/>
        </w:rPr>
        <w:t xml:space="preserve"> тыс. долларов США. Из них на долю прочих инвестиций приходилось 9</w:t>
      </w:r>
      <w:r>
        <w:rPr>
          <w:sz w:val="22"/>
          <w:szCs w:val="22"/>
        </w:rPr>
        <w:t>8</w:t>
      </w:r>
      <w:r w:rsidRPr="00BD2AB3">
        <w:rPr>
          <w:sz w:val="22"/>
          <w:szCs w:val="22"/>
        </w:rPr>
        <w:t>,</w:t>
      </w:r>
      <w:r>
        <w:rPr>
          <w:sz w:val="22"/>
          <w:szCs w:val="22"/>
        </w:rPr>
        <w:t>0</w:t>
      </w:r>
      <w:r w:rsidRPr="00BD2AB3">
        <w:rPr>
          <w:sz w:val="22"/>
          <w:szCs w:val="22"/>
        </w:rPr>
        <w:t>%, на долю прямых инвестиций – 2,</w:t>
      </w:r>
      <w:r>
        <w:rPr>
          <w:sz w:val="22"/>
          <w:szCs w:val="22"/>
        </w:rPr>
        <w:t>0</w:t>
      </w:r>
      <w:r w:rsidRPr="00BD2AB3">
        <w:rPr>
          <w:sz w:val="22"/>
          <w:szCs w:val="22"/>
        </w:rPr>
        <w:t>%.</w:t>
      </w:r>
      <w:r w:rsidRPr="00E91885">
        <w:rPr>
          <w:iCs/>
          <w:sz w:val="22"/>
          <w:szCs w:val="26"/>
        </w:rPr>
        <w:t>Все инвестиции за рубежом были направлены в сферу деятельности транспорта и связи</w:t>
      </w:r>
      <w:r>
        <w:rPr>
          <w:iCs/>
          <w:sz w:val="22"/>
          <w:szCs w:val="26"/>
        </w:rPr>
        <w:t>.</w:t>
      </w:r>
    </w:p>
    <w:p w:rsidR="00A97E1C" w:rsidRPr="00BD2AB3" w:rsidRDefault="00A97E1C" w:rsidP="00BD2AB3">
      <w:pPr>
        <w:pStyle w:val="aa"/>
        <w:spacing w:line="240" w:lineRule="auto"/>
        <w:rPr>
          <w:sz w:val="22"/>
          <w:szCs w:val="22"/>
        </w:rPr>
        <w:sectPr w:rsidR="00A97E1C" w:rsidRPr="00BD2AB3" w:rsidSect="00217011">
          <w:footerReference w:type="first" r:id="rId88"/>
          <w:type w:val="oddPage"/>
          <w:pgSz w:w="16840" w:h="11907" w:orient="landscape" w:code="9"/>
          <w:pgMar w:top="851" w:right="851" w:bottom="851" w:left="1134" w:header="567" w:footer="567" w:gutter="567"/>
          <w:cols w:space="720"/>
          <w:docGrid w:linePitch="272"/>
        </w:sectPr>
      </w:pPr>
    </w:p>
    <w:p w:rsidR="00A97E1C" w:rsidRDefault="0002306A">
      <w:pPr>
        <w:spacing w:line="360" w:lineRule="auto"/>
        <w:jc w:val="center"/>
        <w:rPr>
          <w:rFonts w:ascii="Arial" w:hAnsi="Arial" w:cs="Arial"/>
          <w:b/>
          <w:sz w:val="22"/>
        </w:rPr>
      </w:pPr>
      <w:r>
        <w:rPr>
          <w:rFonts w:ascii="Arial" w:hAnsi="Arial" w:cs="Arial"/>
          <w:b/>
          <w:sz w:val="22"/>
        </w:rPr>
        <w:lastRenderedPageBreak/>
        <w:t>СТАТИСТИЧЕСКИЙ СБОРНИК</w:t>
      </w:r>
    </w:p>
    <w:p w:rsidR="00A97E1C" w:rsidRDefault="00A97E1C">
      <w:pPr>
        <w:spacing w:line="360" w:lineRule="auto"/>
        <w:jc w:val="center"/>
        <w:rPr>
          <w:rFonts w:ascii="Arial" w:hAnsi="Arial" w:cs="Arial"/>
          <w:b/>
          <w:bCs/>
          <w:sz w:val="22"/>
        </w:rPr>
      </w:pPr>
    </w:p>
    <w:p w:rsidR="00A97E1C" w:rsidRPr="0086096D" w:rsidRDefault="0086096D">
      <w:pPr>
        <w:spacing w:line="360" w:lineRule="auto"/>
        <w:jc w:val="center"/>
        <w:rPr>
          <w:rFonts w:ascii="Arial" w:hAnsi="Arial" w:cs="Arial"/>
          <w:b/>
          <w:bCs/>
          <w:sz w:val="22"/>
        </w:rPr>
      </w:pPr>
      <w:r>
        <w:rPr>
          <w:rFonts w:ascii="Arial" w:hAnsi="Arial" w:cs="Arial"/>
          <w:b/>
          <w:bCs/>
          <w:sz w:val="22"/>
        </w:rPr>
        <w:t>70лет Ульяновской области</w:t>
      </w:r>
    </w:p>
    <w:p w:rsidR="00A97E1C" w:rsidRDefault="0002306A">
      <w:pPr>
        <w:spacing w:line="360" w:lineRule="auto"/>
        <w:jc w:val="center"/>
        <w:rPr>
          <w:rFonts w:ascii="Arial" w:hAnsi="Arial" w:cs="Arial"/>
          <w:b/>
          <w:bCs/>
          <w:sz w:val="22"/>
        </w:rPr>
      </w:pPr>
      <w:r>
        <w:rPr>
          <w:rFonts w:ascii="Arial" w:hAnsi="Arial" w:cs="Arial"/>
          <w:b/>
          <w:bCs/>
          <w:sz w:val="22"/>
        </w:rPr>
        <w:t>201</w:t>
      </w:r>
      <w:r w:rsidR="0086096D">
        <w:rPr>
          <w:rFonts w:ascii="Arial" w:hAnsi="Arial" w:cs="Arial"/>
          <w:b/>
          <w:bCs/>
          <w:sz w:val="22"/>
        </w:rPr>
        <w:t>2</w:t>
      </w:r>
    </w:p>
    <w:p w:rsidR="008A0A62" w:rsidRDefault="008A0A62">
      <w:pPr>
        <w:pStyle w:val="32"/>
        <w:spacing w:line="360" w:lineRule="auto"/>
        <w:rPr>
          <w:rFonts w:cs="Arial"/>
          <w:sz w:val="22"/>
        </w:rPr>
      </w:pPr>
      <w:bookmarkStart w:id="43" w:name="_Toc229987260"/>
    </w:p>
    <w:p w:rsidR="00217011" w:rsidRDefault="00217011">
      <w:pPr>
        <w:pStyle w:val="32"/>
        <w:spacing w:line="360" w:lineRule="auto"/>
        <w:rPr>
          <w:rFonts w:cs="Arial"/>
          <w:sz w:val="22"/>
        </w:rPr>
      </w:pPr>
    </w:p>
    <w:p w:rsidR="00217011" w:rsidRDefault="00217011">
      <w:pPr>
        <w:pStyle w:val="32"/>
        <w:spacing w:line="360" w:lineRule="auto"/>
        <w:rPr>
          <w:rFonts w:cs="Arial"/>
          <w:sz w:val="22"/>
        </w:rPr>
      </w:pPr>
    </w:p>
    <w:p w:rsidR="00EC5EAD" w:rsidRDefault="0002306A" w:rsidP="008A0A62">
      <w:pPr>
        <w:pStyle w:val="32"/>
        <w:spacing w:line="360" w:lineRule="auto"/>
        <w:rPr>
          <w:rFonts w:cs="Arial"/>
          <w:sz w:val="22"/>
        </w:rPr>
      </w:pPr>
      <w:proofErr w:type="gramStart"/>
      <w:r>
        <w:rPr>
          <w:rFonts w:cs="Arial"/>
          <w:sz w:val="22"/>
        </w:rPr>
        <w:t>Ответственны</w:t>
      </w:r>
      <w:r w:rsidR="00EC5EAD">
        <w:rPr>
          <w:rFonts w:cs="Arial"/>
          <w:sz w:val="22"/>
        </w:rPr>
        <w:t>й</w:t>
      </w:r>
      <w:r>
        <w:rPr>
          <w:rFonts w:cs="Arial"/>
          <w:sz w:val="22"/>
        </w:rPr>
        <w:t xml:space="preserve"> за выпуск:</w:t>
      </w:r>
      <w:bookmarkEnd w:id="43"/>
      <w:r w:rsidR="00EC5EAD">
        <w:rPr>
          <w:rFonts w:cs="Arial"/>
          <w:sz w:val="22"/>
        </w:rPr>
        <w:t xml:space="preserve"> </w:t>
      </w:r>
      <w:proofErr w:type="gramEnd"/>
    </w:p>
    <w:p w:rsidR="00EC5EAD" w:rsidRDefault="00EC5EAD" w:rsidP="008A0A62">
      <w:pPr>
        <w:pStyle w:val="32"/>
        <w:spacing w:line="360" w:lineRule="auto"/>
        <w:rPr>
          <w:rFonts w:cs="Arial"/>
          <w:sz w:val="22"/>
        </w:rPr>
      </w:pPr>
      <w:r>
        <w:rPr>
          <w:rFonts w:cs="Arial"/>
          <w:sz w:val="22"/>
        </w:rPr>
        <w:t xml:space="preserve">Руководитель территориального органа федеральной службы </w:t>
      </w:r>
    </w:p>
    <w:p w:rsidR="008A0A62" w:rsidRDefault="00EC5EAD" w:rsidP="008A0A62">
      <w:pPr>
        <w:pStyle w:val="32"/>
        <w:spacing w:line="360" w:lineRule="auto"/>
        <w:rPr>
          <w:rFonts w:cs="Arial"/>
          <w:sz w:val="22"/>
        </w:rPr>
      </w:pPr>
      <w:r>
        <w:rPr>
          <w:rFonts w:cs="Arial"/>
          <w:sz w:val="22"/>
        </w:rPr>
        <w:t xml:space="preserve">государственной статистики по Ульяновской области                                                      </w:t>
      </w:r>
      <w:r w:rsidR="0002306A">
        <w:rPr>
          <w:rFonts w:cs="Arial"/>
          <w:sz w:val="22"/>
        </w:rPr>
        <w:t xml:space="preserve">Д.Ю. </w:t>
      </w:r>
      <w:proofErr w:type="spellStart"/>
      <w:r w:rsidR="0002306A">
        <w:rPr>
          <w:rFonts w:cs="Arial"/>
          <w:sz w:val="22"/>
        </w:rPr>
        <w:t>Гудз</w:t>
      </w:r>
      <w:proofErr w:type="spellEnd"/>
    </w:p>
    <w:p w:rsidR="00A97E1C" w:rsidRDefault="00A97E1C" w:rsidP="00217011">
      <w:pPr>
        <w:spacing w:line="360" w:lineRule="auto"/>
        <w:ind w:left="9639"/>
        <w:rPr>
          <w:rFonts w:ascii="Arial" w:hAnsi="Arial" w:cs="Arial"/>
          <w:sz w:val="22"/>
        </w:rPr>
      </w:pPr>
    </w:p>
    <w:p w:rsidR="00A97E1C" w:rsidRDefault="00A97E1C">
      <w:pPr>
        <w:spacing w:line="360" w:lineRule="auto"/>
        <w:jc w:val="center"/>
        <w:rPr>
          <w:rFonts w:ascii="Arial" w:hAnsi="Arial" w:cs="Arial"/>
          <w:sz w:val="22"/>
        </w:rPr>
      </w:pPr>
    </w:p>
    <w:p w:rsidR="00217011" w:rsidRDefault="00217011" w:rsidP="008A0A62">
      <w:pPr>
        <w:spacing w:line="360" w:lineRule="auto"/>
        <w:outlineLvl w:val="0"/>
        <w:rPr>
          <w:rFonts w:ascii="Arial" w:hAnsi="Arial" w:cs="Arial"/>
          <w:b/>
          <w:bCs/>
          <w:sz w:val="22"/>
        </w:rPr>
      </w:pPr>
    </w:p>
    <w:p w:rsidR="00217011" w:rsidRDefault="00217011" w:rsidP="008A0A62">
      <w:pPr>
        <w:spacing w:line="360" w:lineRule="auto"/>
        <w:outlineLvl w:val="0"/>
        <w:rPr>
          <w:rFonts w:ascii="Arial" w:hAnsi="Arial" w:cs="Arial"/>
          <w:b/>
          <w:bCs/>
          <w:sz w:val="22"/>
        </w:rPr>
      </w:pPr>
    </w:p>
    <w:p w:rsidR="00A97E1C" w:rsidRDefault="0002306A" w:rsidP="008A0A62">
      <w:pPr>
        <w:spacing w:line="360" w:lineRule="auto"/>
        <w:outlineLvl w:val="0"/>
        <w:rPr>
          <w:rFonts w:ascii="Arial" w:hAnsi="Arial" w:cs="Arial"/>
          <w:sz w:val="22"/>
        </w:rPr>
      </w:pPr>
      <w:r>
        <w:rPr>
          <w:rFonts w:ascii="Arial" w:hAnsi="Arial" w:cs="Arial"/>
          <w:b/>
          <w:bCs/>
          <w:sz w:val="22"/>
        </w:rPr>
        <w:t xml:space="preserve">Компьютерная верстка отдела сводной информации </w:t>
      </w:r>
      <w:proofErr w:type="spellStart"/>
      <w:r>
        <w:rPr>
          <w:rFonts w:ascii="Arial" w:hAnsi="Arial" w:cs="Arial"/>
          <w:b/>
          <w:bCs/>
          <w:sz w:val="22"/>
        </w:rPr>
        <w:t>Ульяновскстата</w:t>
      </w:r>
      <w:proofErr w:type="spellEnd"/>
      <w:r>
        <w:rPr>
          <w:rFonts w:ascii="Arial" w:hAnsi="Arial" w:cs="Arial"/>
          <w:b/>
          <w:bCs/>
          <w:sz w:val="22"/>
        </w:rPr>
        <w:br/>
      </w:r>
    </w:p>
    <w:tbl>
      <w:tblPr>
        <w:tblW w:w="0" w:type="auto"/>
        <w:tblLook w:val="0000" w:firstRow="0" w:lastRow="0" w:firstColumn="0" w:lastColumn="0" w:noHBand="0" w:noVBand="0"/>
      </w:tblPr>
      <w:tblGrid>
        <w:gridCol w:w="5328"/>
        <w:gridCol w:w="3959"/>
      </w:tblGrid>
      <w:tr w:rsidR="00A97E1C">
        <w:tc>
          <w:tcPr>
            <w:tcW w:w="5328" w:type="dxa"/>
          </w:tcPr>
          <w:p w:rsidR="00A97E1C" w:rsidRDefault="0002306A" w:rsidP="00E13292">
            <w:pPr>
              <w:spacing w:line="360" w:lineRule="auto"/>
              <w:rPr>
                <w:rFonts w:ascii="Arial" w:hAnsi="Arial" w:cs="Arial"/>
                <w:sz w:val="22"/>
              </w:rPr>
            </w:pPr>
            <w:r>
              <w:rPr>
                <w:rFonts w:ascii="Arial" w:hAnsi="Arial" w:cs="Arial"/>
                <w:sz w:val="22"/>
              </w:rPr>
              <w:t xml:space="preserve">Подписано в печать </w:t>
            </w:r>
            <w:r w:rsidR="00E13292">
              <w:rPr>
                <w:rFonts w:ascii="Arial" w:hAnsi="Arial" w:cs="Arial"/>
                <w:sz w:val="22"/>
              </w:rPr>
              <w:t>10</w:t>
            </w:r>
            <w:r>
              <w:rPr>
                <w:rFonts w:ascii="Arial" w:hAnsi="Arial" w:cs="Arial"/>
                <w:sz w:val="22"/>
              </w:rPr>
              <w:t>.</w:t>
            </w:r>
            <w:r w:rsidR="00BD2AB3">
              <w:rPr>
                <w:rFonts w:ascii="Arial" w:hAnsi="Arial" w:cs="Arial"/>
                <w:sz w:val="22"/>
              </w:rPr>
              <w:t>1</w:t>
            </w:r>
            <w:r w:rsidR="00E13292">
              <w:rPr>
                <w:rFonts w:ascii="Arial" w:hAnsi="Arial" w:cs="Arial"/>
                <w:sz w:val="22"/>
              </w:rPr>
              <w:t>2</w:t>
            </w:r>
            <w:r>
              <w:rPr>
                <w:rFonts w:ascii="Arial" w:hAnsi="Arial" w:cs="Arial"/>
                <w:sz w:val="22"/>
              </w:rPr>
              <w:t>.201</w:t>
            </w:r>
            <w:r w:rsidR="0086096D">
              <w:rPr>
                <w:rFonts w:ascii="Arial" w:hAnsi="Arial" w:cs="Arial"/>
                <w:sz w:val="22"/>
              </w:rPr>
              <w:t>2</w:t>
            </w:r>
            <w:r>
              <w:rPr>
                <w:rFonts w:ascii="Arial" w:hAnsi="Arial" w:cs="Arial"/>
                <w:sz w:val="22"/>
              </w:rPr>
              <w:t xml:space="preserve"> г.</w:t>
            </w:r>
          </w:p>
        </w:tc>
        <w:tc>
          <w:tcPr>
            <w:tcW w:w="3959" w:type="dxa"/>
          </w:tcPr>
          <w:p w:rsidR="00A97E1C" w:rsidRDefault="00A97E1C">
            <w:pPr>
              <w:spacing w:line="360" w:lineRule="auto"/>
              <w:rPr>
                <w:rFonts w:ascii="Arial" w:hAnsi="Arial" w:cs="Arial"/>
                <w:sz w:val="22"/>
              </w:rPr>
            </w:pPr>
          </w:p>
        </w:tc>
      </w:tr>
      <w:tr w:rsidR="00A97E1C">
        <w:tc>
          <w:tcPr>
            <w:tcW w:w="5328" w:type="dxa"/>
          </w:tcPr>
          <w:p w:rsidR="00A97E1C" w:rsidRDefault="0002306A">
            <w:pPr>
              <w:spacing w:line="360" w:lineRule="auto"/>
              <w:rPr>
                <w:rFonts w:ascii="Arial" w:hAnsi="Arial" w:cs="Arial"/>
                <w:sz w:val="22"/>
              </w:rPr>
            </w:pPr>
            <w:r>
              <w:rPr>
                <w:rFonts w:ascii="Arial" w:hAnsi="Arial" w:cs="Arial"/>
                <w:sz w:val="22"/>
              </w:rPr>
              <w:t>Формат 60х84  1/8</w:t>
            </w:r>
          </w:p>
        </w:tc>
        <w:tc>
          <w:tcPr>
            <w:tcW w:w="3959" w:type="dxa"/>
          </w:tcPr>
          <w:p w:rsidR="00A97E1C" w:rsidRDefault="0002306A">
            <w:pPr>
              <w:spacing w:line="360" w:lineRule="auto"/>
              <w:rPr>
                <w:rFonts w:ascii="Arial" w:hAnsi="Arial" w:cs="Arial"/>
                <w:sz w:val="22"/>
                <w:lang w:val="ru-MO"/>
              </w:rPr>
            </w:pPr>
            <w:r>
              <w:rPr>
                <w:rFonts w:ascii="Arial" w:hAnsi="Arial" w:cs="Arial"/>
                <w:sz w:val="22"/>
              </w:rPr>
              <w:t xml:space="preserve">Гарнитура </w:t>
            </w:r>
            <w:r>
              <w:rPr>
                <w:rFonts w:ascii="Arial" w:hAnsi="Arial" w:cs="Arial"/>
                <w:sz w:val="22"/>
                <w:lang w:val="en-US"/>
              </w:rPr>
              <w:t>Arial</w:t>
            </w:r>
          </w:p>
        </w:tc>
      </w:tr>
      <w:tr w:rsidR="00A97E1C">
        <w:tc>
          <w:tcPr>
            <w:tcW w:w="5328" w:type="dxa"/>
          </w:tcPr>
          <w:p w:rsidR="00A97E1C" w:rsidRDefault="0002306A" w:rsidP="0086096D">
            <w:pPr>
              <w:spacing w:line="360" w:lineRule="auto"/>
              <w:rPr>
                <w:rFonts w:ascii="Arial" w:hAnsi="Arial" w:cs="Arial"/>
                <w:sz w:val="22"/>
              </w:rPr>
            </w:pPr>
            <w:r>
              <w:rPr>
                <w:rFonts w:ascii="Arial" w:hAnsi="Arial" w:cs="Arial"/>
                <w:sz w:val="22"/>
              </w:rPr>
              <w:t xml:space="preserve">Отпечатано на </w:t>
            </w:r>
            <w:proofErr w:type="spellStart"/>
            <w:r w:rsidR="0086096D">
              <w:rPr>
                <w:rFonts w:ascii="Arial" w:hAnsi="Arial" w:cs="Arial"/>
                <w:sz w:val="22"/>
              </w:rPr>
              <w:t>р</w:t>
            </w:r>
            <w:r>
              <w:rPr>
                <w:rFonts w:ascii="Arial" w:hAnsi="Arial" w:cs="Arial"/>
                <w:sz w:val="22"/>
              </w:rPr>
              <w:t>изографическом</w:t>
            </w:r>
            <w:proofErr w:type="spellEnd"/>
            <w:r>
              <w:rPr>
                <w:rFonts w:ascii="Arial" w:hAnsi="Arial" w:cs="Arial"/>
                <w:sz w:val="22"/>
              </w:rPr>
              <w:t xml:space="preserve"> оборудовании</w:t>
            </w:r>
          </w:p>
        </w:tc>
        <w:tc>
          <w:tcPr>
            <w:tcW w:w="3959" w:type="dxa"/>
          </w:tcPr>
          <w:p w:rsidR="00A97E1C" w:rsidRDefault="0002306A" w:rsidP="00E13292">
            <w:pPr>
              <w:spacing w:line="360" w:lineRule="auto"/>
              <w:rPr>
                <w:rFonts w:ascii="Arial" w:hAnsi="Arial" w:cs="Arial"/>
                <w:sz w:val="22"/>
              </w:rPr>
            </w:pPr>
            <w:r>
              <w:rPr>
                <w:rFonts w:ascii="Arial" w:hAnsi="Arial" w:cs="Arial"/>
                <w:sz w:val="22"/>
              </w:rPr>
              <w:t xml:space="preserve">Объем </w:t>
            </w:r>
            <w:r w:rsidR="00E13292">
              <w:rPr>
                <w:rFonts w:ascii="Arial" w:hAnsi="Arial" w:cs="Arial"/>
                <w:sz w:val="22"/>
              </w:rPr>
              <w:t xml:space="preserve">12 </w:t>
            </w:r>
            <w:proofErr w:type="spellStart"/>
            <w:r w:rsidR="00E13292">
              <w:rPr>
                <w:rFonts w:ascii="Arial" w:hAnsi="Arial" w:cs="Arial"/>
                <w:sz w:val="22"/>
              </w:rPr>
              <w:t>у</w:t>
            </w:r>
            <w:r>
              <w:rPr>
                <w:rFonts w:ascii="Arial" w:hAnsi="Arial" w:cs="Arial"/>
                <w:sz w:val="22"/>
              </w:rPr>
              <w:t>сл</w:t>
            </w:r>
            <w:proofErr w:type="spellEnd"/>
            <w:r>
              <w:rPr>
                <w:rFonts w:ascii="Arial" w:hAnsi="Arial" w:cs="Arial"/>
                <w:sz w:val="22"/>
              </w:rPr>
              <w:t>. п.</w:t>
            </w:r>
            <w:proofErr w:type="gramStart"/>
            <w:r>
              <w:rPr>
                <w:rFonts w:ascii="Arial" w:hAnsi="Arial" w:cs="Arial"/>
                <w:sz w:val="22"/>
              </w:rPr>
              <w:t>л</w:t>
            </w:r>
            <w:proofErr w:type="gramEnd"/>
            <w:r>
              <w:rPr>
                <w:rFonts w:ascii="Arial" w:hAnsi="Arial" w:cs="Arial"/>
                <w:sz w:val="22"/>
              </w:rPr>
              <w:t>.</w:t>
            </w:r>
          </w:p>
        </w:tc>
      </w:tr>
      <w:tr w:rsidR="00A97E1C">
        <w:tc>
          <w:tcPr>
            <w:tcW w:w="5328" w:type="dxa"/>
          </w:tcPr>
          <w:p w:rsidR="00A97E1C" w:rsidRDefault="0002306A" w:rsidP="00EA0C5A">
            <w:pPr>
              <w:spacing w:line="360" w:lineRule="auto"/>
              <w:rPr>
                <w:rFonts w:ascii="Arial" w:hAnsi="Arial" w:cs="Arial"/>
                <w:sz w:val="22"/>
              </w:rPr>
            </w:pPr>
            <w:r>
              <w:rPr>
                <w:rFonts w:ascii="Arial" w:hAnsi="Arial" w:cs="Arial"/>
                <w:sz w:val="22"/>
              </w:rPr>
              <w:t xml:space="preserve">Тираж </w:t>
            </w:r>
            <w:r w:rsidR="00B84D19">
              <w:rPr>
                <w:rFonts w:ascii="Arial" w:hAnsi="Arial" w:cs="Arial"/>
                <w:sz w:val="22"/>
              </w:rPr>
              <w:t>1</w:t>
            </w:r>
            <w:r w:rsidR="00EA0C5A">
              <w:rPr>
                <w:rFonts w:ascii="Arial" w:hAnsi="Arial" w:cs="Arial"/>
                <w:sz w:val="22"/>
              </w:rPr>
              <w:t>0</w:t>
            </w:r>
            <w:r>
              <w:rPr>
                <w:rFonts w:ascii="Arial" w:hAnsi="Arial" w:cs="Arial"/>
                <w:sz w:val="22"/>
              </w:rPr>
              <w:t xml:space="preserve"> экз.</w:t>
            </w:r>
          </w:p>
        </w:tc>
        <w:tc>
          <w:tcPr>
            <w:tcW w:w="3959" w:type="dxa"/>
          </w:tcPr>
          <w:p w:rsidR="00A97E1C" w:rsidRDefault="0002306A" w:rsidP="0086096D">
            <w:pPr>
              <w:spacing w:line="360" w:lineRule="auto"/>
              <w:rPr>
                <w:rFonts w:ascii="Arial" w:hAnsi="Arial" w:cs="Arial"/>
                <w:sz w:val="22"/>
              </w:rPr>
            </w:pPr>
            <w:r>
              <w:rPr>
                <w:rFonts w:ascii="Arial" w:hAnsi="Arial" w:cs="Arial"/>
                <w:sz w:val="22"/>
              </w:rPr>
              <w:t xml:space="preserve">Заказ № </w:t>
            </w:r>
          </w:p>
        </w:tc>
      </w:tr>
    </w:tbl>
    <w:p w:rsidR="00A97E1C" w:rsidRDefault="00A97E1C">
      <w:pPr>
        <w:spacing w:line="360" w:lineRule="auto"/>
        <w:rPr>
          <w:rFonts w:ascii="Arial" w:hAnsi="Arial" w:cs="Arial"/>
          <w:sz w:val="22"/>
        </w:rPr>
      </w:pPr>
    </w:p>
    <w:p w:rsidR="00A97E1C" w:rsidRDefault="00A97E1C">
      <w:pPr>
        <w:spacing w:line="360" w:lineRule="auto"/>
        <w:rPr>
          <w:rFonts w:ascii="Arial" w:hAnsi="Arial" w:cs="Arial"/>
          <w:sz w:val="22"/>
        </w:rPr>
      </w:pPr>
    </w:p>
    <w:p w:rsidR="00A97E1C" w:rsidRDefault="00A97E1C">
      <w:pPr>
        <w:spacing w:line="360" w:lineRule="auto"/>
        <w:rPr>
          <w:rFonts w:ascii="Arial" w:hAnsi="Arial" w:cs="Arial"/>
          <w:sz w:val="22"/>
        </w:rPr>
      </w:pPr>
    </w:p>
    <w:p w:rsidR="00A97E1C" w:rsidRDefault="00A97E1C">
      <w:pPr>
        <w:spacing w:line="360" w:lineRule="auto"/>
        <w:rPr>
          <w:rFonts w:ascii="Arial" w:hAnsi="Arial" w:cs="Arial"/>
          <w:sz w:val="22"/>
        </w:rPr>
      </w:pPr>
    </w:p>
    <w:p w:rsidR="00A97E1C" w:rsidRDefault="0002306A">
      <w:pPr>
        <w:spacing w:line="360" w:lineRule="auto"/>
        <w:jc w:val="center"/>
        <w:rPr>
          <w:rFonts w:ascii="Arial" w:hAnsi="Arial" w:cs="Arial"/>
          <w:iCs/>
          <w:sz w:val="22"/>
        </w:rPr>
      </w:pPr>
      <w:r>
        <w:rPr>
          <w:rFonts w:ascii="Arial" w:hAnsi="Arial" w:cs="Arial"/>
          <w:iCs/>
          <w:sz w:val="22"/>
        </w:rPr>
        <w:t xml:space="preserve">Отпечатано в </w:t>
      </w:r>
      <w:proofErr w:type="spellStart"/>
      <w:r>
        <w:rPr>
          <w:rFonts w:ascii="Arial" w:hAnsi="Arial" w:cs="Arial"/>
          <w:iCs/>
          <w:sz w:val="22"/>
        </w:rPr>
        <w:t>Ульяновскстате</w:t>
      </w:r>
      <w:proofErr w:type="spellEnd"/>
    </w:p>
    <w:p w:rsidR="00A97E1C" w:rsidRDefault="0002306A">
      <w:pPr>
        <w:spacing w:line="360" w:lineRule="auto"/>
        <w:jc w:val="center"/>
        <w:rPr>
          <w:rFonts w:ascii="Arial" w:hAnsi="Arial" w:cs="Arial"/>
          <w:iCs/>
          <w:sz w:val="22"/>
        </w:rPr>
      </w:pPr>
      <w:r>
        <w:rPr>
          <w:rFonts w:ascii="Arial" w:hAnsi="Arial" w:cs="Arial"/>
          <w:iCs/>
          <w:sz w:val="22"/>
        </w:rPr>
        <w:t>432970, Ульяновск, ул. Энгельса, 1/32</w:t>
      </w:r>
    </w:p>
    <w:p w:rsidR="00A97E1C" w:rsidRDefault="0002306A">
      <w:pPr>
        <w:pStyle w:val="21"/>
        <w:spacing w:after="120" w:line="360" w:lineRule="auto"/>
        <w:ind w:left="284" w:right="193" w:firstLine="567"/>
        <w:jc w:val="both"/>
        <w:rPr>
          <w:rFonts w:cs="Arial"/>
          <w:sz w:val="22"/>
        </w:rPr>
      </w:pPr>
      <w:r>
        <w:rPr>
          <w:rFonts w:cs="Arial"/>
        </w:rPr>
        <w:br w:type="page"/>
      </w:r>
    </w:p>
    <w:p w:rsidR="00A97E1C" w:rsidRDefault="0002306A" w:rsidP="0001135E">
      <w:pPr>
        <w:pStyle w:val="21"/>
        <w:spacing w:after="120" w:line="360" w:lineRule="auto"/>
        <w:ind w:left="851" w:right="538" w:firstLine="567"/>
        <w:jc w:val="both"/>
        <w:rPr>
          <w:rFonts w:cs="Arial"/>
          <w:sz w:val="22"/>
        </w:rPr>
      </w:pPr>
      <w:r>
        <w:rPr>
          <w:rFonts w:cs="Arial"/>
          <w:sz w:val="22"/>
        </w:rPr>
        <w:lastRenderedPageBreak/>
        <w:t>Периодические издания, статистические сборники, а также перечень разнообразной статистической информации и много другого интересного и нужного для себя Вы найдёте в "Каталоге статистических изданий и информационных услуг" Территориального органа Росстата по Ульяновской области.</w:t>
      </w:r>
    </w:p>
    <w:p w:rsidR="00A97E1C" w:rsidRDefault="0002306A" w:rsidP="0001135E">
      <w:pPr>
        <w:pStyle w:val="21"/>
        <w:spacing w:after="120" w:line="360" w:lineRule="auto"/>
        <w:ind w:left="851" w:right="538" w:firstLine="567"/>
        <w:jc w:val="both"/>
        <w:rPr>
          <w:rFonts w:cs="Arial"/>
          <w:sz w:val="22"/>
        </w:rPr>
      </w:pPr>
      <w:r>
        <w:rPr>
          <w:rFonts w:cs="Arial"/>
          <w:sz w:val="22"/>
        </w:rPr>
        <w:t xml:space="preserve">Информация, публикуемая </w:t>
      </w:r>
      <w:proofErr w:type="spellStart"/>
      <w:r>
        <w:rPr>
          <w:rFonts w:cs="Arial"/>
          <w:sz w:val="22"/>
        </w:rPr>
        <w:t>Ульяновскстатом</w:t>
      </w:r>
      <w:proofErr w:type="spellEnd"/>
      <w:r>
        <w:rPr>
          <w:rFonts w:cs="Arial"/>
          <w:sz w:val="22"/>
        </w:rPr>
        <w:t>, носит системный характер, раскрывает динамику явлений, подкреплена методическими комментариями, что делает её доступной для самой широкой аудитории.</w:t>
      </w:r>
    </w:p>
    <w:p w:rsidR="00A97E1C" w:rsidRDefault="0002306A" w:rsidP="0001135E">
      <w:pPr>
        <w:pStyle w:val="21"/>
        <w:spacing w:after="120" w:line="360" w:lineRule="auto"/>
        <w:ind w:left="851" w:right="538" w:firstLine="567"/>
        <w:jc w:val="both"/>
        <w:rPr>
          <w:rFonts w:cs="Arial"/>
          <w:sz w:val="22"/>
        </w:rPr>
      </w:pPr>
      <w:r>
        <w:rPr>
          <w:rFonts w:cs="Arial"/>
          <w:sz w:val="22"/>
        </w:rPr>
        <w:t>Мы предлагаем Вам сотрудничество с нами, что обеспечит доступ к информации об экономике и социальной сфере Ульяновской области и муниципальных образований, и откроет новые возможности для Вашей деятельности.</w:t>
      </w:r>
    </w:p>
    <w:p w:rsidR="00A97E1C" w:rsidRDefault="0002306A" w:rsidP="0001135E">
      <w:pPr>
        <w:pStyle w:val="21"/>
        <w:spacing w:after="120" w:line="360" w:lineRule="auto"/>
        <w:ind w:left="851" w:right="538" w:firstLine="567"/>
        <w:jc w:val="both"/>
        <w:rPr>
          <w:rFonts w:cs="Arial"/>
          <w:b/>
          <w:sz w:val="22"/>
        </w:rPr>
      </w:pPr>
      <w:r>
        <w:rPr>
          <w:rFonts w:cs="Arial"/>
          <w:b/>
          <w:sz w:val="22"/>
        </w:rPr>
        <w:t>Приглашаем Вас ознакомиться с Каталогом и стать клиентом нашей информационной базы по адресу:</w:t>
      </w:r>
    </w:p>
    <w:p w:rsidR="00A97E1C" w:rsidRDefault="00A97E1C" w:rsidP="0001135E">
      <w:pPr>
        <w:pStyle w:val="21"/>
        <w:spacing w:after="120" w:line="360" w:lineRule="auto"/>
        <w:ind w:left="851" w:right="538" w:firstLine="567"/>
        <w:jc w:val="both"/>
        <w:rPr>
          <w:rFonts w:cs="Arial"/>
          <w:b/>
          <w:sz w:val="22"/>
        </w:rPr>
      </w:pPr>
    </w:p>
    <w:p w:rsidR="00A97E1C" w:rsidRPr="00D31E53" w:rsidRDefault="0002306A" w:rsidP="0001135E">
      <w:pPr>
        <w:pStyle w:val="21"/>
        <w:spacing w:after="120" w:line="360" w:lineRule="auto"/>
        <w:ind w:left="851" w:right="538"/>
        <w:jc w:val="center"/>
        <w:rPr>
          <w:rFonts w:cs="Arial"/>
          <w:sz w:val="22"/>
        </w:rPr>
      </w:pPr>
      <w:r>
        <w:rPr>
          <w:rFonts w:cs="Arial"/>
          <w:sz w:val="22"/>
        </w:rPr>
        <w:t>432970, г. Ульяновск, ул. Энгельса</w:t>
      </w:r>
      <w:r w:rsidRPr="00D31E53">
        <w:rPr>
          <w:rFonts w:cs="Arial"/>
          <w:sz w:val="22"/>
        </w:rPr>
        <w:t xml:space="preserve">, </w:t>
      </w:r>
      <w:r>
        <w:rPr>
          <w:rFonts w:cs="Arial"/>
          <w:sz w:val="22"/>
        </w:rPr>
        <w:t>д</w:t>
      </w:r>
      <w:r w:rsidRPr="00D31E53">
        <w:rPr>
          <w:rFonts w:cs="Arial"/>
          <w:sz w:val="22"/>
        </w:rPr>
        <w:t>. 1/32</w:t>
      </w:r>
    </w:p>
    <w:p w:rsidR="00A97E1C" w:rsidRPr="00EA0C5A" w:rsidRDefault="0002306A" w:rsidP="0001135E">
      <w:pPr>
        <w:suppressLineNumbers/>
        <w:spacing w:before="120" w:after="120" w:line="360" w:lineRule="auto"/>
        <w:ind w:left="851" w:right="538"/>
        <w:jc w:val="center"/>
        <w:rPr>
          <w:rFonts w:ascii="Arial" w:hAnsi="Arial" w:cs="Arial"/>
          <w:color w:val="000000"/>
          <w:sz w:val="22"/>
        </w:rPr>
      </w:pPr>
      <w:r>
        <w:rPr>
          <w:rFonts w:ascii="Arial" w:hAnsi="Arial" w:cs="Arial"/>
          <w:color w:val="000000"/>
          <w:sz w:val="22"/>
          <w:lang w:val="en-US"/>
        </w:rPr>
        <w:t>E</w:t>
      </w:r>
      <w:r w:rsidRPr="00EA0C5A">
        <w:rPr>
          <w:rFonts w:ascii="Arial" w:hAnsi="Arial" w:cs="Arial"/>
          <w:color w:val="000000"/>
          <w:sz w:val="22"/>
        </w:rPr>
        <w:t>-</w:t>
      </w:r>
      <w:r>
        <w:rPr>
          <w:rFonts w:ascii="Arial" w:hAnsi="Arial" w:cs="Arial"/>
          <w:color w:val="000000"/>
          <w:sz w:val="22"/>
          <w:lang w:val="en-US"/>
        </w:rPr>
        <w:t>mail</w:t>
      </w:r>
      <w:r w:rsidRPr="00EA0C5A">
        <w:rPr>
          <w:rFonts w:ascii="Arial" w:hAnsi="Arial" w:cs="Arial"/>
          <w:color w:val="000000"/>
          <w:sz w:val="22"/>
        </w:rPr>
        <w:t>:</w:t>
      </w:r>
      <w:hyperlink r:id="rId89" w:history="1">
        <w:r>
          <w:rPr>
            <w:rStyle w:val="af"/>
            <w:rFonts w:ascii="Arial" w:hAnsi="Arial" w:cs="Arial"/>
            <w:color w:val="000000"/>
            <w:sz w:val="22"/>
            <w:lang w:val="en-US"/>
          </w:rPr>
          <w:t>ulobl</w:t>
        </w:r>
        <w:r w:rsidRPr="00EA0C5A">
          <w:rPr>
            <w:rStyle w:val="af"/>
            <w:rFonts w:ascii="Arial" w:hAnsi="Arial" w:cs="Arial"/>
            <w:color w:val="000000"/>
            <w:sz w:val="22"/>
          </w:rPr>
          <w:t>@</w:t>
        </w:r>
        <w:r>
          <w:rPr>
            <w:rStyle w:val="af"/>
            <w:rFonts w:ascii="Arial" w:hAnsi="Arial" w:cs="Arial"/>
            <w:color w:val="000000"/>
            <w:sz w:val="22"/>
            <w:lang w:val="en-US"/>
          </w:rPr>
          <w:t>statcom</w:t>
        </w:r>
        <w:r w:rsidRPr="00EA0C5A">
          <w:rPr>
            <w:rStyle w:val="af"/>
            <w:rFonts w:ascii="Arial" w:hAnsi="Arial" w:cs="Arial"/>
            <w:color w:val="000000"/>
            <w:sz w:val="22"/>
          </w:rPr>
          <w:t>.</w:t>
        </w:r>
        <w:r>
          <w:rPr>
            <w:rStyle w:val="af"/>
            <w:rFonts w:ascii="Arial" w:hAnsi="Arial" w:cs="Arial"/>
            <w:color w:val="000000"/>
            <w:sz w:val="22"/>
            <w:lang w:val="en-US"/>
          </w:rPr>
          <w:t>mv</w:t>
        </w:r>
        <w:r w:rsidRPr="00EA0C5A">
          <w:rPr>
            <w:rStyle w:val="af"/>
            <w:rFonts w:ascii="Arial" w:hAnsi="Arial" w:cs="Arial"/>
            <w:color w:val="000000"/>
            <w:sz w:val="22"/>
          </w:rPr>
          <w:t>.</w:t>
        </w:r>
        <w:r>
          <w:rPr>
            <w:rStyle w:val="af"/>
            <w:rFonts w:ascii="Arial" w:hAnsi="Arial" w:cs="Arial"/>
            <w:color w:val="000000"/>
            <w:sz w:val="22"/>
            <w:lang w:val="en-US"/>
          </w:rPr>
          <w:t>ru</w:t>
        </w:r>
      </w:hyperlink>
    </w:p>
    <w:p w:rsidR="00A97E1C" w:rsidRPr="00D31E53" w:rsidRDefault="0002306A" w:rsidP="0001135E">
      <w:pPr>
        <w:suppressLineNumbers/>
        <w:spacing w:line="360" w:lineRule="auto"/>
        <w:ind w:left="851" w:right="538"/>
        <w:jc w:val="center"/>
        <w:rPr>
          <w:rFonts w:ascii="Arial" w:hAnsi="Arial" w:cs="Arial"/>
          <w:sz w:val="22"/>
        </w:rPr>
      </w:pPr>
      <w:r>
        <w:rPr>
          <w:rFonts w:ascii="Arial" w:hAnsi="Arial" w:cs="Arial"/>
          <w:sz w:val="22"/>
          <w:lang w:val="en-US"/>
        </w:rPr>
        <w:t>http</w:t>
      </w:r>
      <w:r w:rsidRPr="00D31E53">
        <w:rPr>
          <w:rFonts w:ascii="Arial" w:hAnsi="Arial" w:cs="Arial"/>
          <w:sz w:val="22"/>
        </w:rPr>
        <w:t>://</w:t>
      </w:r>
      <w:proofErr w:type="spellStart"/>
      <w:r>
        <w:rPr>
          <w:rFonts w:ascii="Arial" w:hAnsi="Arial" w:cs="Arial"/>
          <w:sz w:val="22"/>
          <w:lang w:val="en-US"/>
        </w:rPr>
        <w:t>uln</w:t>
      </w:r>
      <w:proofErr w:type="spellEnd"/>
      <w:r w:rsidRPr="00D31E53">
        <w:rPr>
          <w:rFonts w:ascii="Arial" w:hAnsi="Arial" w:cs="Arial"/>
          <w:sz w:val="22"/>
        </w:rPr>
        <w:t>.</w:t>
      </w:r>
      <w:proofErr w:type="spellStart"/>
      <w:r>
        <w:rPr>
          <w:rFonts w:ascii="Arial" w:hAnsi="Arial" w:cs="Arial"/>
          <w:sz w:val="22"/>
          <w:lang w:val="en-US"/>
        </w:rPr>
        <w:t>gks</w:t>
      </w:r>
      <w:proofErr w:type="spellEnd"/>
      <w:r w:rsidRPr="00D31E53">
        <w:rPr>
          <w:rFonts w:ascii="Arial" w:hAnsi="Arial" w:cs="Arial"/>
          <w:sz w:val="22"/>
        </w:rPr>
        <w:t>.</w:t>
      </w:r>
      <w:proofErr w:type="spellStart"/>
      <w:r>
        <w:rPr>
          <w:rFonts w:ascii="Arial" w:hAnsi="Arial" w:cs="Arial"/>
          <w:sz w:val="22"/>
          <w:lang w:val="en-US"/>
        </w:rPr>
        <w:t>ru</w:t>
      </w:r>
      <w:proofErr w:type="spellEnd"/>
    </w:p>
    <w:p w:rsidR="00A97E1C" w:rsidRPr="00D31E53" w:rsidRDefault="00A97E1C" w:rsidP="0001135E">
      <w:pPr>
        <w:suppressLineNumbers/>
        <w:spacing w:before="120" w:after="120" w:line="360" w:lineRule="auto"/>
        <w:ind w:left="851" w:right="538"/>
        <w:jc w:val="center"/>
        <w:rPr>
          <w:rFonts w:ascii="Arial" w:hAnsi="Arial" w:cs="Arial"/>
          <w:sz w:val="22"/>
        </w:rPr>
      </w:pPr>
    </w:p>
    <w:p w:rsidR="00A97E1C" w:rsidRPr="00D31E53" w:rsidRDefault="00A97E1C" w:rsidP="0001135E">
      <w:pPr>
        <w:pStyle w:val="21"/>
        <w:spacing w:after="120" w:line="360" w:lineRule="auto"/>
        <w:ind w:left="851" w:right="538" w:firstLine="567"/>
        <w:jc w:val="both"/>
        <w:rPr>
          <w:rFonts w:cs="Arial"/>
          <w:sz w:val="22"/>
        </w:rPr>
      </w:pPr>
    </w:p>
    <w:p w:rsidR="00A97E1C" w:rsidRDefault="0002306A" w:rsidP="0001135E">
      <w:pPr>
        <w:pStyle w:val="21"/>
        <w:spacing w:after="120" w:line="360" w:lineRule="auto"/>
        <w:ind w:left="851" w:right="538"/>
        <w:jc w:val="center"/>
        <w:outlineLvl w:val="0"/>
        <w:rPr>
          <w:rFonts w:cs="Arial"/>
          <w:b/>
          <w:sz w:val="22"/>
        </w:rPr>
      </w:pPr>
      <w:r>
        <w:rPr>
          <w:rFonts w:cs="Arial"/>
          <w:b/>
          <w:sz w:val="22"/>
        </w:rPr>
        <w:t>С нами также можно связаться по телефону:</w:t>
      </w:r>
    </w:p>
    <w:p w:rsidR="00A97E1C" w:rsidRDefault="00A97E1C" w:rsidP="0001135E">
      <w:pPr>
        <w:pStyle w:val="21"/>
        <w:spacing w:after="120" w:line="360" w:lineRule="auto"/>
        <w:ind w:left="851" w:right="538" w:firstLine="567"/>
        <w:jc w:val="both"/>
        <w:rPr>
          <w:rFonts w:cs="Arial"/>
          <w:sz w:val="22"/>
        </w:rPr>
      </w:pPr>
    </w:p>
    <w:p w:rsidR="00A97E1C" w:rsidRDefault="0002306A" w:rsidP="0001135E">
      <w:pPr>
        <w:pStyle w:val="21"/>
        <w:spacing w:after="120" w:line="360" w:lineRule="auto"/>
        <w:ind w:left="851" w:right="538"/>
        <w:jc w:val="center"/>
        <w:rPr>
          <w:rFonts w:cs="Arial"/>
          <w:sz w:val="22"/>
        </w:rPr>
      </w:pPr>
      <w:r>
        <w:rPr>
          <w:rFonts w:cs="Arial"/>
          <w:sz w:val="22"/>
        </w:rPr>
        <w:t>(8422) 32 4</w:t>
      </w:r>
      <w:r w:rsidR="007C0B38">
        <w:rPr>
          <w:rFonts w:cs="Arial"/>
          <w:sz w:val="22"/>
        </w:rPr>
        <w:t>3</w:t>
      </w:r>
      <w:r w:rsidR="00EA0C5A">
        <w:rPr>
          <w:rFonts w:cs="Arial"/>
          <w:sz w:val="22"/>
        </w:rPr>
        <w:t xml:space="preserve"> </w:t>
      </w:r>
      <w:r w:rsidR="007C0B38">
        <w:rPr>
          <w:rFonts w:cs="Arial"/>
          <w:sz w:val="22"/>
        </w:rPr>
        <w:t>82</w:t>
      </w:r>
      <w:r>
        <w:rPr>
          <w:rFonts w:cs="Arial"/>
          <w:sz w:val="22"/>
        </w:rPr>
        <w:t>;  32 47 05</w:t>
      </w:r>
    </w:p>
    <w:p w:rsidR="00A97E1C" w:rsidRDefault="00A97E1C">
      <w:pPr>
        <w:pStyle w:val="af2"/>
        <w:spacing w:before="0" w:beforeAutospacing="0" w:after="0" w:afterAutospacing="0" w:line="360" w:lineRule="auto"/>
        <w:ind w:firstLine="720"/>
        <w:jc w:val="both"/>
        <w:rPr>
          <w:rFonts w:ascii="Arial" w:hAnsi="Arial" w:cs="Arial"/>
          <w:color w:val="FF0000"/>
          <w:sz w:val="22"/>
        </w:rPr>
      </w:pPr>
    </w:p>
    <w:p w:rsidR="00A97E1C" w:rsidRDefault="00A97E1C">
      <w:pPr>
        <w:pStyle w:val="8"/>
        <w:rPr>
          <w:bCs w:val="0"/>
          <w:color w:val="FF0000"/>
          <w:sz w:val="22"/>
        </w:rPr>
      </w:pPr>
    </w:p>
    <w:p w:rsidR="00A97E1C" w:rsidRDefault="00A97E1C">
      <w:pPr>
        <w:rPr>
          <w:rFonts w:ascii="Arial" w:hAnsi="Arial" w:cs="Arial"/>
          <w:color w:val="FF0000"/>
          <w:sz w:val="22"/>
        </w:rPr>
      </w:pPr>
    </w:p>
    <w:p w:rsidR="0002306A" w:rsidRDefault="0002306A">
      <w:pPr>
        <w:rPr>
          <w:rFonts w:ascii="Arial" w:hAnsi="Arial" w:cs="Arial"/>
          <w:color w:val="FF0000"/>
          <w:sz w:val="22"/>
        </w:rPr>
      </w:pPr>
    </w:p>
    <w:sectPr w:rsidR="0002306A" w:rsidSect="008A0A62">
      <w:footerReference w:type="even" r:id="rId90"/>
      <w:footerReference w:type="default" r:id="rId91"/>
      <w:type w:val="oddPage"/>
      <w:pgSz w:w="16840" w:h="11907" w:orient="landscape" w:code="9"/>
      <w:pgMar w:top="851" w:right="851" w:bottom="851" w:left="1134" w:header="567" w:footer="567" w:gutter="567"/>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1A5" w:rsidRDefault="002451A5">
      <w:r>
        <w:separator/>
      </w:r>
    </w:p>
  </w:endnote>
  <w:endnote w:type="continuationSeparator" w:id="0">
    <w:p w:rsidR="002451A5" w:rsidRDefault="002451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00007843" w:usb2="00000001"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6629" w:rsidRDefault="00406629">
    <w:pPr>
      <w:pStyle w:val="a5"/>
      <w:framePr w:wrap="around" w:vAnchor="text" w:hAnchor="margin" w:xAlign="right" w:y="1"/>
      <w:rPr>
        <w:rStyle w:val="a7"/>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
      <w:gridCol w:w="13828"/>
    </w:tblGrid>
    <w:tr w:rsidR="00406629" w:rsidTr="00837D20">
      <w:tc>
        <w:tcPr>
          <w:tcW w:w="233" w:type="pct"/>
          <w:tcBorders>
            <w:top w:val="nil"/>
            <w:left w:val="nil"/>
            <w:bottom w:val="nil"/>
            <w:right w:val="nil"/>
          </w:tcBorders>
          <w:vAlign w:val="center"/>
        </w:tcPr>
        <w:p w:rsidR="00406629" w:rsidRPr="006C200B" w:rsidRDefault="00406629" w:rsidP="00837D20">
          <w:pPr>
            <w:pStyle w:val="a5"/>
            <w:jc w:val="center"/>
            <w:rPr>
              <w:rFonts w:ascii="Arial" w:hAnsi="Arial" w:cs="Arial"/>
              <w:b/>
              <w:sz w:val="22"/>
              <w:szCs w:val="22"/>
            </w:rPr>
          </w:pPr>
          <w:r w:rsidRPr="006C200B">
            <w:rPr>
              <w:rStyle w:val="a7"/>
              <w:rFonts w:ascii="Arial" w:hAnsi="Arial" w:cs="Arial"/>
              <w:b/>
              <w:sz w:val="22"/>
              <w:szCs w:val="22"/>
            </w:rPr>
            <w:fldChar w:fldCharType="begin"/>
          </w:r>
          <w:r w:rsidRPr="006C200B">
            <w:rPr>
              <w:rStyle w:val="a7"/>
              <w:rFonts w:ascii="Arial" w:hAnsi="Arial" w:cs="Arial"/>
              <w:b/>
              <w:sz w:val="22"/>
              <w:szCs w:val="22"/>
            </w:rPr>
            <w:instrText xml:space="preserve"> PAGE </w:instrText>
          </w:r>
          <w:r w:rsidRPr="006C200B">
            <w:rPr>
              <w:rStyle w:val="a7"/>
              <w:rFonts w:ascii="Arial" w:hAnsi="Arial" w:cs="Arial"/>
              <w:b/>
              <w:sz w:val="22"/>
              <w:szCs w:val="22"/>
            </w:rPr>
            <w:fldChar w:fldCharType="separate"/>
          </w:r>
          <w:r w:rsidR="00A3751D">
            <w:rPr>
              <w:rStyle w:val="a7"/>
              <w:rFonts w:ascii="Arial" w:hAnsi="Arial" w:cs="Arial"/>
              <w:b/>
              <w:noProof/>
              <w:sz w:val="22"/>
              <w:szCs w:val="22"/>
            </w:rPr>
            <w:t>82</w:t>
          </w:r>
          <w:r w:rsidRPr="006C200B">
            <w:rPr>
              <w:rStyle w:val="a7"/>
              <w:rFonts w:ascii="Arial" w:hAnsi="Arial" w:cs="Arial"/>
              <w:b/>
              <w:sz w:val="22"/>
              <w:szCs w:val="22"/>
            </w:rPr>
            <w:fldChar w:fldCharType="end"/>
          </w:r>
        </w:p>
      </w:tc>
      <w:tc>
        <w:tcPr>
          <w:tcW w:w="4767" w:type="pct"/>
          <w:tcBorders>
            <w:top w:val="nil"/>
            <w:left w:val="nil"/>
            <w:bottom w:val="nil"/>
            <w:right w:val="nil"/>
          </w:tcBorders>
        </w:tcPr>
        <w:p w:rsidR="00406629" w:rsidRPr="00D7313E" w:rsidRDefault="00406629">
          <w:pPr>
            <w:pStyle w:val="a5"/>
            <w:jc w:val="center"/>
            <w:rPr>
              <w:rFonts w:ascii="Arial" w:hAnsi="Arial" w:cs="Arial"/>
              <w:i/>
              <w:sz w:val="22"/>
              <w:szCs w:val="22"/>
            </w:rPr>
          </w:pPr>
          <w:r w:rsidRPr="00D7313E">
            <w:rPr>
              <w:rFonts w:ascii="Arial" w:hAnsi="Arial" w:cs="Arial"/>
              <w:i/>
              <w:noProof/>
              <w:sz w:val="22"/>
              <w:szCs w:val="22"/>
            </w:rPr>
            <w:t>70 лет Ульяновской области</w:t>
          </w:r>
        </w:p>
      </w:tc>
    </w:tr>
  </w:tbl>
  <w:p w:rsidR="00406629" w:rsidRDefault="00406629">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6629" w:rsidRDefault="00406629">
    <w:pPr>
      <w:pStyle w:val="a5"/>
      <w:framePr w:wrap="around" w:vAnchor="text" w:hAnchor="margin" w:xAlign="right" w:y="1"/>
      <w:rPr>
        <w:rStyle w:val="a7"/>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83"/>
      <w:gridCol w:w="621"/>
    </w:tblGrid>
    <w:tr w:rsidR="00406629" w:rsidTr="00837D20">
      <w:tc>
        <w:tcPr>
          <w:tcW w:w="4786" w:type="pct"/>
          <w:tcBorders>
            <w:top w:val="nil"/>
            <w:left w:val="nil"/>
            <w:bottom w:val="nil"/>
            <w:right w:val="nil"/>
          </w:tcBorders>
        </w:tcPr>
        <w:p w:rsidR="00406629" w:rsidRPr="00837D20" w:rsidRDefault="00406629">
          <w:pPr>
            <w:pStyle w:val="a5"/>
            <w:jc w:val="center"/>
            <w:rPr>
              <w:rStyle w:val="a7"/>
              <w:rFonts w:ascii="Arial" w:hAnsi="Arial" w:cs="Arial"/>
              <w:b/>
              <w:color w:val="365F91" w:themeColor="accent1" w:themeShade="BF"/>
              <w:sz w:val="22"/>
              <w:szCs w:val="22"/>
            </w:rPr>
          </w:pPr>
          <w:r w:rsidRPr="00D7313E">
            <w:rPr>
              <w:rFonts w:ascii="Arial" w:hAnsi="Arial" w:cs="Arial"/>
              <w:i/>
              <w:noProof/>
              <w:sz w:val="22"/>
              <w:szCs w:val="22"/>
            </w:rPr>
            <w:t>70 лет Ульяновской области</w:t>
          </w:r>
        </w:p>
      </w:tc>
      <w:tc>
        <w:tcPr>
          <w:tcW w:w="214" w:type="pct"/>
          <w:tcBorders>
            <w:top w:val="nil"/>
            <w:left w:val="nil"/>
            <w:bottom w:val="nil"/>
            <w:right w:val="nil"/>
          </w:tcBorders>
          <w:vAlign w:val="center"/>
        </w:tcPr>
        <w:p w:rsidR="00406629" w:rsidRPr="006C200B" w:rsidRDefault="00406629" w:rsidP="00837D20">
          <w:pPr>
            <w:pStyle w:val="a5"/>
            <w:jc w:val="center"/>
            <w:rPr>
              <w:rStyle w:val="a7"/>
              <w:rFonts w:ascii="Arial" w:hAnsi="Arial" w:cs="Arial"/>
              <w:b/>
              <w:sz w:val="22"/>
              <w:szCs w:val="22"/>
            </w:rPr>
          </w:pPr>
          <w:r w:rsidRPr="006C200B">
            <w:rPr>
              <w:rStyle w:val="a7"/>
              <w:rFonts w:ascii="Arial" w:hAnsi="Arial" w:cs="Arial"/>
              <w:b/>
              <w:sz w:val="22"/>
              <w:szCs w:val="22"/>
            </w:rPr>
            <w:fldChar w:fldCharType="begin"/>
          </w:r>
          <w:r w:rsidRPr="006C200B">
            <w:rPr>
              <w:rStyle w:val="a7"/>
              <w:rFonts w:ascii="Arial" w:hAnsi="Arial" w:cs="Arial"/>
              <w:b/>
              <w:sz w:val="22"/>
              <w:szCs w:val="22"/>
            </w:rPr>
            <w:instrText xml:space="preserve"> PAGE </w:instrText>
          </w:r>
          <w:r w:rsidRPr="006C200B">
            <w:rPr>
              <w:rStyle w:val="a7"/>
              <w:rFonts w:ascii="Arial" w:hAnsi="Arial" w:cs="Arial"/>
              <w:b/>
              <w:sz w:val="22"/>
              <w:szCs w:val="22"/>
            </w:rPr>
            <w:fldChar w:fldCharType="separate"/>
          </w:r>
          <w:r w:rsidR="00A3751D">
            <w:rPr>
              <w:rStyle w:val="a7"/>
              <w:rFonts w:ascii="Arial" w:hAnsi="Arial" w:cs="Arial"/>
              <w:b/>
              <w:noProof/>
              <w:sz w:val="22"/>
              <w:szCs w:val="22"/>
            </w:rPr>
            <w:t>5</w:t>
          </w:r>
          <w:r w:rsidRPr="006C200B">
            <w:rPr>
              <w:rStyle w:val="a7"/>
              <w:rFonts w:ascii="Arial" w:hAnsi="Arial" w:cs="Arial"/>
              <w:b/>
              <w:sz w:val="22"/>
              <w:szCs w:val="22"/>
            </w:rPr>
            <w:fldChar w:fldCharType="end"/>
          </w:r>
        </w:p>
      </w:tc>
    </w:tr>
  </w:tbl>
  <w:p w:rsidR="00406629" w:rsidRDefault="00406629">
    <w:pPr>
      <w:pStyle w:val="a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6629" w:rsidRDefault="00406629">
    <w:pPr>
      <w:pStyle w:val="a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6629" w:rsidRDefault="00406629">
    <w:pPr>
      <w:pStyle w:val="a5"/>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6629" w:rsidRDefault="00406629">
    <w:pPr>
      <w:pStyle w:val="a5"/>
      <w:framePr w:wrap="around" w:vAnchor="text" w:hAnchor="margin" w:xAlign="right" w:y="1"/>
      <w:rPr>
        <w:rStyle w:val="a7"/>
      </w:rPr>
    </w:pPr>
  </w:p>
  <w:p w:rsidR="00406629" w:rsidRDefault="00406629">
    <w:pPr>
      <w:pStyle w:val="a5"/>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6629" w:rsidRDefault="00406629">
    <w:pPr>
      <w:pStyle w:val="a5"/>
      <w:framePr w:wrap="around" w:vAnchor="text" w:hAnchor="margin" w:xAlign="right" w:y="1"/>
      <w:rPr>
        <w:rStyle w:val="a7"/>
      </w:rPr>
    </w:pPr>
  </w:p>
  <w:p w:rsidR="00406629" w:rsidRDefault="00406629">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1A5" w:rsidRDefault="002451A5">
      <w:r>
        <w:separator/>
      </w:r>
    </w:p>
  </w:footnote>
  <w:footnote w:type="continuationSeparator" w:id="0">
    <w:p w:rsidR="002451A5" w:rsidRDefault="002451A5">
      <w:r>
        <w:continuationSeparator/>
      </w:r>
    </w:p>
  </w:footnote>
  <w:footnote w:id="1">
    <w:p w:rsidR="00406629" w:rsidRPr="004F2F3B" w:rsidRDefault="00406629" w:rsidP="0022238D">
      <w:pPr>
        <w:pStyle w:val="ad"/>
        <w:rPr>
          <w:i w:val="0"/>
          <w:iCs/>
          <w:sz w:val="22"/>
          <w:szCs w:val="22"/>
        </w:rPr>
      </w:pPr>
      <w:r w:rsidRPr="004F2F3B">
        <w:rPr>
          <w:rStyle w:val="af1"/>
          <w:i w:val="0"/>
          <w:iCs/>
          <w:sz w:val="22"/>
          <w:szCs w:val="22"/>
        </w:rPr>
        <w:t>1)</w:t>
      </w:r>
      <w:r w:rsidRPr="004F2F3B">
        <w:rPr>
          <w:i w:val="0"/>
          <w:iCs/>
          <w:sz w:val="22"/>
          <w:szCs w:val="22"/>
        </w:rPr>
        <w:t xml:space="preserve"> С 1991г. учет оборота розничной торговли и оборота общественного питания ведется раздельно.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303576"/>
    <w:multiLevelType w:val="hybridMultilevel"/>
    <w:tmpl w:val="3918C3D8"/>
    <w:lvl w:ilvl="0" w:tplc="0290D19C">
      <w:numFmt w:val="bullet"/>
      <w:lvlText w:val="-"/>
      <w:lvlJc w:val="left"/>
      <w:pPr>
        <w:tabs>
          <w:tab w:val="num" w:pos="1021"/>
        </w:tabs>
        <w:ind w:left="1021" w:hanging="284"/>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3D884311"/>
    <w:multiLevelType w:val="hybridMultilevel"/>
    <w:tmpl w:val="CFD838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A252EE3"/>
    <w:multiLevelType w:val="hybridMultilevel"/>
    <w:tmpl w:val="D5D852EA"/>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num w:numId="1">
    <w:abstractNumId w:val="0"/>
  </w:num>
  <w:num w:numId="2">
    <w:abstractNumId w:val="1"/>
  </w:num>
  <w:num w:numId="3">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defaultTabStop w:val="708"/>
  <w:autoHyphenation/>
  <w:hyphenationZone w:val="425"/>
  <w:evenAndOddHeader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15657B"/>
    <w:rsid w:val="00007742"/>
    <w:rsid w:val="000079FB"/>
    <w:rsid w:val="0001135E"/>
    <w:rsid w:val="00023055"/>
    <w:rsid w:val="0002306A"/>
    <w:rsid w:val="000323EF"/>
    <w:rsid w:val="00032D9A"/>
    <w:rsid w:val="000546FE"/>
    <w:rsid w:val="00067C10"/>
    <w:rsid w:val="00072E1B"/>
    <w:rsid w:val="0009540C"/>
    <w:rsid w:val="00095A32"/>
    <w:rsid w:val="000A38AF"/>
    <w:rsid w:val="000A6748"/>
    <w:rsid w:val="000C3463"/>
    <w:rsid w:val="000C6EB8"/>
    <w:rsid w:val="000D275B"/>
    <w:rsid w:val="000E2019"/>
    <w:rsid w:val="00102DFB"/>
    <w:rsid w:val="00104CD6"/>
    <w:rsid w:val="0012088F"/>
    <w:rsid w:val="0013056A"/>
    <w:rsid w:val="00143166"/>
    <w:rsid w:val="00151677"/>
    <w:rsid w:val="00151C2D"/>
    <w:rsid w:val="00155BB8"/>
    <w:rsid w:val="0015657B"/>
    <w:rsid w:val="00157D73"/>
    <w:rsid w:val="00164977"/>
    <w:rsid w:val="001753B5"/>
    <w:rsid w:val="001870D8"/>
    <w:rsid w:val="0019294C"/>
    <w:rsid w:val="001A020C"/>
    <w:rsid w:val="001A4EAC"/>
    <w:rsid w:val="001B29C4"/>
    <w:rsid w:val="001C1893"/>
    <w:rsid w:val="001C44BD"/>
    <w:rsid w:val="001D1FA7"/>
    <w:rsid w:val="001D2083"/>
    <w:rsid w:val="001E250A"/>
    <w:rsid w:val="00205E90"/>
    <w:rsid w:val="00207680"/>
    <w:rsid w:val="002130E7"/>
    <w:rsid w:val="00213C56"/>
    <w:rsid w:val="00217011"/>
    <w:rsid w:val="00221D60"/>
    <w:rsid w:val="0022238D"/>
    <w:rsid w:val="00224BD5"/>
    <w:rsid w:val="00227D04"/>
    <w:rsid w:val="00241F68"/>
    <w:rsid w:val="002451A5"/>
    <w:rsid w:val="0025572C"/>
    <w:rsid w:val="00261DA4"/>
    <w:rsid w:val="00264F0E"/>
    <w:rsid w:val="002673CA"/>
    <w:rsid w:val="00274549"/>
    <w:rsid w:val="0027487B"/>
    <w:rsid w:val="00280E10"/>
    <w:rsid w:val="00282809"/>
    <w:rsid w:val="00285A00"/>
    <w:rsid w:val="0029062E"/>
    <w:rsid w:val="00294095"/>
    <w:rsid w:val="002A392C"/>
    <w:rsid w:val="002A5F6D"/>
    <w:rsid w:val="002B39CD"/>
    <w:rsid w:val="002B3F4D"/>
    <w:rsid w:val="002C65A0"/>
    <w:rsid w:val="002D2C02"/>
    <w:rsid w:val="002E1840"/>
    <w:rsid w:val="002E59CE"/>
    <w:rsid w:val="002F7647"/>
    <w:rsid w:val="002F7943"/>
    <w:rsid w:val="0030048D"/>
    <w:rsid w:val="0030345D"/>
    <w:rsid w:val="00307D67"/>
    <w:rsid w:val="00310428"/>
    <w:rsid w:val="0031255B"/>
    <w:rsid w:val="00332A2B"/>
    <w:rsid w:val="00332CFF"/>
    <w:rsid w:val="00335577"/>
    <w:rsid w:val="00342B9D"/>
    <w:rsid w:val="00345FFF"/>
    <w:rsid w:val="00362B5A"/>
    <w:rsid w:val="0037013F"/>
    <w:rsid w:val="00374820"/>
    <w:rsid w:val="00376701"/>
    <w:rsid w:val="003768A5"/>
    <w:rsid w:val="00391A12"/>
    <w:rsid w:val="00393C75"/>
    <w:rsid w:val="003B1C09"/>
    <w:rsid w:val="003B2814"/>
    <w:rsid w:val="003C0747"/>
    <w:rsid w:val="003C081F"/>
    <w:rsid w:val="003C3C69"/>
    <w:rsid w:val="003C492E"/>
    <w:rsid w:val="003C4A4D"/>
    <w:rsid w:val="003C72D9"/>
    <w:rsid w:val="003D5EDB"/>
    <w:rsid w:val="003E666A"/>
    <w:rsid w:val="003F736C"/>
    <w:rsid w:val="00405E58"/>
    <w:rsid w:val="00406629"/>
    <w:rsid w:val="00407CA0"/>
    <w:rsid w:val="00407D4D"/>
    <w:rsid w:val="00407DDD"/>
    <w:rsid w:val="0042196F"/>
    <w:rsid w:val="00435DE0"/>
    <w:rsid w:val="00436049"/>
    <w:rsid w:val="0044009A"/>
    <w:rsid w:val="004425DB"/>
    <w:rsid w:val="00473B30"/>
    <w:rsid w:val="00497323"/>
    <w:rsid w:val="004A3728"/>
    <w:rsid w:val="004B1446"/>
    <w:rsid w:val="004F2F3B"/>
    <w:rsid w:val="005017FC"/>
    <w:rsid w:val="00510825"/>
    <w:rsid w:val="0052061B"/>
    <w:rsid w:val="00523920"/>
    <w:rsid w:val="00535A4A"/>
    <w:rsid w:val="00536083"/>
    <w:rsid w:val="00536F46"/>
    <w:rsid w:val="0053759F"/>
    <w:rsid w:val="00540F7A"/>
    <w:rsid w:val="0054221A"/>
    <w:rsid w:val="00546D05"/>
    <w:rsid w:val="00555D9F"/>
    <w:rsid w:val="00556537"/>
    <w:rsid w:val="00561AAD"/>
    <w:rsid w:val="00565FFA"/>
    <w:rsid w:val="005673E1"/>
    <w:rsid w:val="00571DDF"/>
    <w:rsid w:val="00585F2F"/>
    <w:rsid w:val="005948CA"/>
    <w:rsid w:val="005A146D"/>
    <w:rsid w:val="005A3CB5"/>
    <w:rsid w:val="005B1529"/>
    <w:rsid w:val="005B158F"/>
    <w:rsid w:val="005C51F0"/>
    <w:rsid w:val="005C7962"/>
    <w:rsid w:val="005E2739"/>
    <w:rsid w:val="005F7A4D"/>
    <w:rsid w:val="006068FA"/>
    <w:rsid w:val="00607F81"/>
    <w:rsid w:val="00611239"/>
    <w:rsid w:val="006370BD"/>
    <w:rsid w:val="006467BB"/>
    <w:rsid w:val="006501AB"/>
    <w:rsid w:val="006510F2"/>
    <w:rsid w:val="00656EC8"/>
    <w:rsid w:val="00671C6C"/>
    <w:rsid w:val="00674409"/>
    <w:rsid w:val="00676FEF"/>
    <w:rsid w:val="00682E8F"/>
    <w:rsid w:val="00685350"/>
    <w:rsid w:val="00687EA5"/>
    <w:rsid w:val="00692E48"/>
    <w:rsid w:val="00696C7F"/>
    <w:rsid w:val="006A43E0"/>
    <w:rsid w:val="006B678A"/>
    <w:rsid w:val="006C200B"/>
    <w:rsid w:val="006F318B"/>
    <w:rsid w:val="006F7A15"/>
    <w:rsid w:val="00706B17"/>
    <w:rsid w:val="00715E90"/>
    <w:rsid w:val="0071717B"/>
    <w:rsid w:val="00725243"/>
    <w:rsid w:val="007408BC"/>
    <w:rsid w:val="0074689E"/>
    <w:rsid w:val="00761442"/>
    <w:rsid w:val="00774625"/>
    <w:rsid w:val="007761F8"/>
    <w:rsid w:val="00780B38"/>
    <w:rsid w:val="007944A3"/>
    <w:rsid w:val="00794F02"/>
    <w:rsid w:val="007A1ABC"/>
    <w:rsid w:val="007A2F6E"/>
    <w:rsid w:val="007A5545"/>
    <w:rsid w:val="007A7074"/>
    <w:rsid w:val="007A7C56"/>
    <w:rsid w:val="007B4834"/>
    <w:rsid w:val="007B7C75"/>
    <w:rsid w:val="007C0B38"/>
    <w:rsid w:val="007C5F20"/>
    <w:rsid w:val="007D1EDD"/>
    <w:rsid w:val="007D780E"/>
    <w:rsid w:val="007E1561"/>
    <w:rsid w:val="007E5C25"/>
    <w:rsid w:val="007F3D68"/>
    <w:rsid w:val="0080534B"/>
    <w:rsid w:val="008148EE"/>
    <w:rsid w:val="0081636C"/>
    <w:rsid w:val="008222DA"/>
    <w:rsid w:val="00837D20"/>
    <w:rsid w:val="00841F29"/>
    <w:rsid w:val="0084342B"/>
    <w:rsid w:val="008444AB"/>
    <w:rsid w:val="0086096D"/>
    <w:rsid w:val="00864E1D"/>
    <w:rsid w:val="0086720E"/>
    <w:rsid w:val="0088002E"/>
    <w:rsid w:val="0088555B"/>
    <w:rsid w:val="0089205D"/>
    <w:rsid w:val="008958E4"/>
    <w:rsid w:val="008A0A62"/>
    <w:rsid w:val="008B1906"/>
    <w:rsid w:val="008E3066"/>
    <w:rsid w:val="008E3872"/>
    <w:rsid w:val="008E771C"/>
    <w:rsid w:val="008F0B9B"/>
    <w:rsid w:val="008F5B90"/>
    <w:rsid w:val="0090185D"/>
    <w:rsid w:val="00916674"/>
    <w:rsid w:val="00917E0E"/>
    <w:rsid w:val="00921A2A"/>
    <w:rsid w:val="00926035"/>
    <w:rsid w:val="00930CD4"/>
    <w:rsid w:val="00944523"/>
    <w:rsid w:val="009475D7"/>
    <w:rsid w:val="00952A6D"/>
    <w:rsid w:val="0095321F"/>
    <w:rsid w:val="00965024"/>
    <w:rsid w:val="009A272E"/>
    <w:rsid w:val="009B2151"/>
    <w:rsid w:val="009C73A3"/>
    <w:rsid w:val="009D6CD2"/>
    <w:rsid w:val="009E32F2"/>
    <w:rsid w:val="009E7B2D"/>
    <w:rsid w:val="009F59D6"/>
    <w:rsid w:val="009F6C7A"/>
    <w:rsid w:val="00A062B3"/>
    <w:rsid w:val="00A24CC8"/>
    <w:rsid w:val="00A27B54"/>
    <w:rsid w:val="00A33C99"/>
    <w:rsid w:val="00A3751D"/>
    <w:rsid w:val="00A52099"/>
    <w:rsid w:val="00A5393A"/>
    <w:rsid w:val="00A64749"/>
    <w:rsid w:val="00A960FB"/>
    <w:rsid w:val="00A97E1C"/>
    <w:rsid w:val="00AA0DD8"/>
    <w:rsid w:val="00AA5D66"/>
    <w:rsid w:val="00AA6FC3"/>
    <w:rsid w:val="00AB00B2"/>
    <w:rsid w:val="00AB59DA"/>
    <w:rsid w:val="00AB6315"/>
    <w:rsid w:val="00AE0800"/>
    <w:rsid w:val="00AE7B93"/>
    <w:rsid w:val="00AF16E1"/>
    <w:rsid w:val="00AF5F6D"/>
    <w:rsid w:val="00AF7B2F"/>
    <w:rsid w:val="00B02E51"/>
    <w:rsid w:val="00B11C87"/>
    <w:rsid w:val="00B17FBD"/>
    <w:rsid w:val="00B26514"/>
    <w:rsid w:val="00B321B2"/>
    <w:rsid w:val="00B34036"/>
    <w:rsid w:val="00B37742"/>
    <w:rsid w:val="00B5576F"/>
    <w:rsid w:val="00B6518B"/>
    <w:rsid w:val="00B666F2"/>
    <w:rsid w:val="00B716F8"/>
    <w:rsid w:val="00B72073"/>
    <w:rsid w:val="00B73854"/>
    <w:rsid w:val="00B75562"/>
    <w:rsid w:val="00B8168B"/>
    <w:rsid w:val="00B84D19"/>
    <w:rsid w:val="00B8728C"/>
    <w:rsid w:val="00B9698D"/>
    <w:rsid w:val="00BA6713"/>
    <w:rsid w:val="00BC0122"/>
    <w:rsid w:val="00BD015E"/>
    <w:rsid w:val="00BD2609"/>
    <w:rsid w:val="00BD26BB"/>
    <w:rsid w:val="00BD2AB3"/>
    <w:rsid w:val="00BD3344"/>
    <w:rsid w:val="00BD6EE0"/>
    <w:rsid w:val="00BF2DBB"/>
    <w:rsid w:val="00C01610"/>
    <w:rsid w:val="00C01B68"/>
    <w:rsid w:val="00C068FE"/>
    <w:rsid w:val="00C07A07"/>
    <w:rsid w:val="00C16D11"/>
    <w:rsid w:val="00C2649D"/>
    <w:rsid w:val="00C3053C"/>
    <w:rsid w:val="00C4209D"/>
    <w:rsid w:val="00C47902"/>
    <w:rsid w:val="00C50FD2"/>
    <w:rsid w:val="00CA01CF"/>
    <w:rsid w:val="00CB24C1"/>
    <w:rsid w:val="00CB3966"/>
    <w:rsid w:val="00CD5580"/>
    <w:rsid w:val="00CF13E1"/>
    <w:rsid w:val="00CF6A53"/>
    <w:rsid w:val="00CF75A1"/>
    <w:rsid w:val="00D31E53"/>
    <w:rsid w:val="00D369D5"/>
    <w:rsid w:val="00D606B6"/>
    <w:rsid w:val="00D64F1D"/>
    <w:rsid w:val="00D655AF"/>
    <w:rsid w:val="00D7313E"/>
    <w:rsid w:val="00D80DE6"/>
    <w:rsid w:val="00D8749B"/>
    <w:rsid w:val="00D91807"/>
    <w:rsid w:val="00DA64E3"/>
    <w:rsid w:val="00DB27B1"/>
    <w:rsid w:val="00DD431E"/>
    <w:rsid w:val="00DE73BC"/>
    <w:rsid w:val="00DF6BAC"/>
    <w:rsid w:val="00E03E48"/>
    <w:rsid w:val="00E13292"/>
    <w:rsid w:val="00E15860"/>
    <w:rsid w:val="00E16995"/>
    <w:rsid w:val="00E51154"/>
    <w:rsid w:val="00E57EEE"/>
    <w:rsid w:val="00E63433"/>
    <w:rsid w:val="00E77221"/>
    <w:rsid w:val="00E82093"/>
    <w:rsid w:val="00E83B39"/>
    <w:rsid w:val="00E86CBB"/>
    <w:rsid w:val="00E91538"/>
    <w:rsid w:val="00E93AC6"/>
    <w:rsid w:val="00E96DED"/>
    <w:rsid w:val="00EA0AEB"/>
    <w:rsid w:val="00EA0C5A"/>
    <w:rsid w:val="00EA6307"/>
    <w:rsid w:val="00EB176F"/>
    <w:rsid w:val="00EC0DE2"/>
    <w:rsid w:val="00EC5EAD"/>
    <w:rsid w:val="00ED01A7"/>
    <w:rsid w:val="00ED7E9D"/>
    <w:rsid w:val="00EE1A66"/>
    <w:rsid w:val="00EE3EF7"/>
    <w:rsid w:val="00F014B9"/>
    <w:rsid w:val="00F10B5D"/>
    <w:rsid w:val="00F130E2"/>
    <w:rsid w:val="00F15D5C"/>
    <w:rsid w:val="00F22DFF"/>
    <w:rsid w:val="00F31AE0"/>
    <w:rsid w:val="00F447CD"/>
    <w:rsid w:val="00F46674"/>
    <w:rsid w:val="00F728DC"/>
    <w:rsid w:val="00F74768"/>
    <w:rsid w:val="00F949DB"/>
    <w:rsid w:val="00FA491E"/>
    <w:rsid w:val="00FB7D00"/>
    <w:rsid w:val="00FC35E0"/>
    <w:rsid w:val="00FC43AB"/>
    <w:rsid w:val="00FC4680"/>
    <w:rsid w:val="00FD6826"/>
    <w:rsid w:val="00FE1969"/>
    <w:rsid w:val="00FE2239"/>
    <w:rsid w:val="00FF5A5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0" w:unhideWhenUsed="0" w:qFormat="1"/>
    <w:lsdException w:name="heading 8" w:semiHidden="0"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semiHidden="0" w:uiPriority="35" w:unhideWhenUsed="0"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E1C"/>
  </w:style>
  <w:style w:type="paragraph" w:styleId="1">
    <w:name w:val="heading 1"/>
    <w:basedOn w:val="a"/>
    <w:next w:val="a"/>
    <w:link w:val="10"/>
    <w:qFormat/>
    <w:rsid w:val="00A97E1C"/>
    <w:pPr>
      <w:keepNext/>
      <w:jc w:val="center"/>
      <w:outlineLvl w:val="0"/>
    </w:pPr>
    <w:rPr>
      <w:rFonts w:ascii="Arial" w:hAnsi="Arial"/>
      <w:b/>
      <w:i/>
      <w:caps/>
      <w:kern w:val="28"/>
      <w:sz w:val="24"/>
    </w:rPr>
  </w:style>
  <w:style w:type="paragraph" w:styleId="2">
    <w:name w:val="heading 2"/>
    <w:basedOn w:val="a"/>
    <w:next w:val="a"/>
    <w:qFormat/>
    <w:rsid w:val="00A97E1C"/>
    <w:pPr>
      <w:keepNext/>
      <w:spacing w:before="240" w:after="60"/>
      <w:outlineLvl w:val="1"/>
    </w:pPr>
    <w:rPr>
      <w:rFonts w:ascii="Arial" w:hAnsi="Arial"/>
      <w:b/>
      <w:i/>
      <w:sz w:val="24"/>
    </w:rPr>
  </w:style>
  <w:style w:type="paragraph" w:styleId="3">
    <w:name w:val="heading 3"/>
    <w:basedOn w:val="a"/>
    <w:next w:val="a"/>
    <w:link w:val="30"/>
    <w:uiPriority w:val="99"/>
    <w:qFormat/>
    <w:rsid w:val="00A97E1C"/>
    <w:pPr>
      <w:keepNext/>
      <w:jc w:val="center"/>
      <w:outlineLvl w:val="2"/>
    </w:pPr>
    <w:rPr>
      <w:b/>
    </w:rPr>
  </w:style>
  <w:style w:type="paragraph" w:styleId="4">
    <w:name w:val="heading 4"/>
    <w:basedOn w:val="a"/>
    <w:next w:val="a"/>
    <w:link w:val="40"/>
    <w:qFormat/>
    <w:rsid w:val="00A97E1C"/>
    <w:pPr>
      <w:keepNext/>
      <w:spacing w:line="180" w:lineRule="exact"/>
      <w:jc w:val="center"/>
      <w:outlineLvl w:val="3"/>
    </w:pPr>
    <w:rPr>
      <w:rFonts w:ascii="Arial" w:hAnsi="Arial"/>
      <w:b/>
      <w:sz w:val="18"/>
    </w:rPr>
  </w:style>
  <w:style w:type="paragraph" w:styleId="5">
    <w:name w:val="heading 5"/>
    <w:basedOn w:val="a"/>
    <w:next w:val="a"/>
    <w:qFormat/>
    <w:rsid w:val="00A97E1C"/>
    <w:pPr>
      <w:keepNext/>
      <w:spacing w:line="180" w:lineRule="exact"/>
      <w:ind w:firstLine="709"/>
      <w:jc w:val="center"/>
      <w:outlineLvl w:val="4"/>
    </w:pPr>
    <w:rPr>
      <w:rFonts w:ascii="Arial" w:hAnsi="Arial"/>
      <w:b/>
    </w:rPr>
  </w:style>
  <w:style w:type="paragraph" w:styleId="6">
    <w:name w:val="heading 6"/>
    <w:basedOn w:val="a"/>
    <w:next w:val="a"/>
    <w:qFormat/>
    <w:rsid w:val="00A97E1C"/>
    <w:pPr>
      <w:keepNext/>
      <w:suppressLineNumbers/>
      <w:spacing w:line="180" w:lineRule="exact"/>
      <w:ind w:firstLine="709"/>
      <w:jc w:val="both"/>
      <w:outlineLvl w:val="5"/>
    </w:pPr>
    <w:rPr>
      <w:rFonts w:ascii="Arial" w:hAnsi="Arial"/>
      <w:b/>
      <w:i/>
      <w:sz w:val="18"/>
    </w:rPr>
  </w:style>
  <w:style w:type="paragraph" w:styleId="7">
    <w:name w:val="heading 7"/>
    <w:basedOn w:val="a"/>
    <w:next w:val="a"/>
    <w:link w:val="70"/>
    <w:qFormat/>
    <w:rsid w:val="00A97E1C"/>
    <w:pPr>
      <w:keepNext/>
      <w:suppressLineNumbers/>
      <w:spacing w:line="180" w:lineRule="exact"/>
      <w:ind w:firstLine="709"/>
      <w:jc w:val="center"/>
      <w:outlineLvl w:val="6"/>
    </w:pPr>
    <w:rPr>
      <w:rFonts w:ascii="Arial" w:hAnsi="Arial"/>
      <w:b/>
      <w:sz w:val="18"/>
    </w:rPr>
  </w:style>
  <w:style w:type="paragraph" w:styleId="8">
    <w:name w:val="heading 8"/>
    <w:basedOn w:val="a"/>
    <w:next w:val="a"/>
    <w:link w:val="80"/>
    <w:uiPriority w:val="99"/>
    <w:qFormat/>
    <w:rsid w:val="00A97E1C"/>
    <w:pPr>
      <w:keepNext/>
      <w:spacing w:before="120"/>
      <w:jc w:val="center"/>
      <w:outlineLvl w:val="7"/>
    </w:pPr>
    <w:rPr>
      <w:rFonts w:ascii="Arial" w:hAnsi="Arial" w:cs="Arial"/>
      <w:b/>
      <w:bCs/>
      <w:sz w:val="16"/>
    </w:rPr>
  </w:style>
  <w:style w:type="paragraph" w:styleId="9">
    <w:name w:val="heading 9"/>
    <w:basedOn w:val="a"/>
    <w:next w:val="a"/>
    <w:qFormat/>
    <w:rsid w:val="00A97E1C"/>
    <w:pPr>
      <w:keepNext/>
      <w:spacing w:before="20" w:after="20"/>
      <w:ind w:firstLine="284"/>
      <w:outlineLvl w:val="8"/>
    </w:pPr>
    <w:rPr>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autoRedefine/>
    <w:uiPriority w:val="39"/>
    <w:rsid w:val="00A97E1C"/>
    <w:pPr>
      <w:spacing w:before="120"/>
    </w:pPr>
    <w:rPr>
      <w:b/>
      <w:bCs/>
      <w:i/>
      <w:iCs/>
      <w:szCs w:val="28"/>
    </w:rPr>
  </w:style>
  <w:style w:type="paragraph" w:styleId="20">
    <w:name w:val="toc 2"/>
    <w:basedOn w:val="a"/>
    <w:next w:val="a"/>
    <w:autoRedefine/>
    <w:semiHidden/>
    <w:rsid w:val="00A97E1C"/>
    <w:pPr>
      <w:spacing w:before="120"/>
      <w:ind w:left="200"/>
    </w:pPr>
    <w:rPr>
      <w:b/>
      <w:bCs/>
      <w:szCs w:val="26"/>
    </w:rPr>
  </w:style>
  <w:style w:type="paragraph" w:styleId="31">
    <w:name w:val="toc 3"/>
    <w:basedOn w:val="a"/>
    <w:next w:val="a"/>
    <w:autoRedefine/>
    <w:semiHidden/>
    <w:rsid w:val="00A97E1C"/>
    <w:pPr>
      <w:ind w:left="400"/>
    </w:pPr>
    <w:rPr>
      <w:szCs w:val="24"/>
    </w:rPr>
  </w:style>
  <w:style w:type="paragraph" w:styleId="41">
    <w:name w:val="toc 4"/>
    <w:basedOn w:val="a"/>
    <w:next w:val="a"/>
    <w:autoRedefine/>
    <w:semiHidden/>
    <w:rsid w:val="00A97E1C"/>
    <w:pPr>
      <w:ind w:left="600"/>
    </w:pPr>
    <w:rPr>
      <w:szCs w:val="24"/>
    </w:rPr>
  </w:style>
  <w:style w:type="paragraph" w:styleId="50">
    <w:name w:val="toc 5"/>
    <w:basedOn w:val="a"/>
    <w:next w:val="a"/>
    <w:autoRedefine/>
    <w:semiHidden/>
    <w:rsid w:val="00A97E1C"/>
    <w:pPr>
      <w:ind w:left="800"/>
    </w:pPr>
    <w:rPr>
      <w:szCs w:val="24"/>
    </w:rPr>
  </w:style>
  <w:style w:type="paragraph" w:styleId="60">
    <w:name w:val="toc 6"/>
    <w:basedOn w:val="a"/>
    <w:next w:val="a"/>
    <w:autoRedefine/>
    <w:semiHidden/>
    <w:rsid w:val="00A97E1C"/>
    <w:pPr>
      <w:ind w:left="1000"/>
    </w:pPr>
    <w:rPr>
      <w:szCs w:val="24"/>
    </w:rPr>
  </w:style>
  <w:style w:type="paragraph" w:styleId="71">
    <w:name w:val="toc 7"/>
    <w:basedOn w:val="a"/>
    <w:next w:val="a"/>
    <w:autoRedefine/>
    <w:semiHidden/>
    <w:rsid w:val="00A97E1C"/>
    <w:pPr>
      <w:ind w:left="1200"/>
    </w:pPr>
    <w:rPr>
      <w:szCs w:val="24"/>
    </w:rPr>
  </w:style>
  <w:style w:type="paragraph" w:styleId="81">
    <w:name w:val="toc 8"/>
    <w:basedOn w:val="a"/>
    <w:next w:val="a"/>
    <w:autoRedefine/>
    <w:semiHidden/>
    <w:rsid w:val="00A97E1C"/>
    <w:pPr>
      <w:ind w:left="1400"/>
    </w:pPr>
    <w:rPr>
      <w:szCs w:val="24"/>
    </w:rPr>
  </w:style>
  <w:style w:type="paragraph" w:styleId="90">
    <w:name w:val="toc 9"/>
    <w:basedOn w:val="a"/>
    <w:next w:val="a"/>
    <w:autoRedefine/>
    <w:semiHidden/>
    <w:rsid w:val="00A97E1C"/>
    <w:pPr>
      <w:ind w:left="1600"/>
    </w:pPr>
    <w:rPr>
      <w:szCs w:val="24"/>
    </w:rPr>
  </w:style>
  <w:style w:type="paragraph" w:styleId="a3">
    <w:name w:val="Title"/>
    <w:basedOn w:val="a"/>
    <w:link w:val="a4"/>
    <w:qFormat/>
    <w:rsid w:val="00A97E1C"/>
    <w:pPr>
      <w:spacing w:line="180" w:lineRule="exact"/>
      <w:jc w:val="center"/>
    </w:pPr>
    <w:rPr>
      <w:b/>
      <w:sz w:val="22"/>
    </w:rPr>
  </w:style>
  <w:style w:type="paragraph" w:styleId="a5">
    <w:name w:val="footer"/>
    <w:basedOn w:val="a"/>
    <w:link w:val="a6"/>
    <w:semiHidden/>
    <w:rsid w:val="00A97E1C"/>
    <w:pPr>
      <w:tabs>
        <w:tab w:val="center" w:pos="4153"/>
        <w:tab w:val="right" w:pos="8306"/>
      </w:tabs>
    </w:pPr>
  </w:style>
  <w:style w:type="character" w:styleId="a7">
    <w:name w:val="page number"/>
    <w:basedOn w:val="a0"/>
    <w:semiHidden/>
    <w:rsid w:val="00A97E1C"/>
  </w:style>
  <w:style w:type="paragraph" w:styleId="a8">
    <w:name w:val="header"/>
    <w:basedOn w:val="a"/>
    <w:semiHidden/>
    <w:rsid w:val="00A97E1C"/>
    <w:pPr>
      <w:tabs>
        <w:tab w:val="center" w:pos="4153"/>
        <w:tab w:val="right" w:pos="8306"/>
      </w:tabs>
    </w:pPr>
  </w:style>
  <w:style w:type="paragraph" w:styleId="a9">
    <w:name w:val="Body Text"/>
    <w:basedOn w:val="a"/>
    <w:semiHidden/>
    <w:rsid w:val="00A97E1C"/>
    <w:pPr>
      <w:spacing w:line="180" w:lineRule="exact"/>
    </w:pPr>
    <w:rPr>
      <w:rFonts w:ascii="Arial" w:hAnsi="Arial"/>
      <w:sz w:val="18"/>
    </w:rPr>
  </w:style>
  <w:style w:type="paragraph" w:styleId="aa">
    <w:name w:val="Body Text Indent"/>
    <w:basedOn w:val="a"/>
    <w:link w:val="ab"/>
    <w:uiPriority w:val="99"/>
    <w:semiHidden/>
    <w:rsid w:val="00A97E1C"/>
    <w:pPr>
      <w:spacing w:line="180" w:lineRule="exact"/>
      <w:ind w:firstLine="709"/>
      <w:jc w:val="both"/>
    </w:pPr>
    <w:rPr>
      <w:rFonts w:ascii="Arial" w:hAnsi="Arial"/>
      <w:sz w:val="18"/>
    </w:rPr>
  </w:style>
  <w:style w:type="character" w:styleId="ac">
    <w:name w:val="line number"/>
    <w:basedOn w:val="a0"/>
    <w:semiHidden/>
    <w:rsid w:val="00A97E1C"/>
  </w:style>
  <w:style w:type="paragraph" w:styleId="21">
    <w:name w:val="Body Text 2"/>
    <w:basedOn w:val="a"/>
    <w:semiHidden/>
    <w:rsid w:val="00A97E1C"/>
    <w:pPr>
      <w:suppressLineNumbers/>
      <w:spacing w:line="180" w:lineRule="exact"/>
    </w:pPr>
    <w:rPr>
      <w:rFonts w:ascii="Arial" w:hAnsi="Arial"/>
      <w:sz w:val="16"/>
    </w:rPr>
  </w:style>
  <w:style w:type="paragraph" w:styleId="22">
    <w:name w:val="Body Text Indent 2"/>
    <w:basedOn w:val="a"/>
    <w:link w:val="23"/>
    <w:uiPriority w:val="99"/>
    <w:semiHidden/>
    <w:rsid w:val="00A97E1C"/>
    <w:pPr>
      <w:suppressLineNumbers/>
      <w:spacing w:line="180" w:lineRule="exact"/>
      <w:ind w:firstLine="709"/>
      <w:jc w:val="both"/>
    </w:pPr>
    <w:rPr>
      <w:rFonts w:ascii="Arial" w:hAnsi="Arial"/>
      <w:sz w:val="16"/>
    </w:rPr>
  </w:style>
  <w:style w:type="paragraph" w:styleId="32">
    <w:name w:val="Body Text 3"/>
    <w:basedOn w:val="a"/>
    <w:semiHidden/>
    <w:rsid w:val="00A97E1C"/>
    <w:pPr>
      <w:suppressLineNumbers/>
      <w:spacing w:line="180" w:lineRule="exact"/>
      <w:jc w:val="both"/>
    </w:pPr>
    <w:rPr>
      <w:rFonts w:ascii="Arial" w:hAnsi="Arial"/>
      <w:sz w:val="16"/>
    </w:rPr>
  </w:style>
  <w:style w:type="paragraph" w:styleId="ad">
    <w:name w:val="footnote text"/>
    <w:basedOn w:val="a"/>
    <w:link w:val="ae"/>
    <w:semiHidden/>
    <w:rsid w:val="00A97E1C"/>
    <w:pPr>
      <w:jc w:val="both"/>
    </w:pPr>
    <w:rPr>
      <w:rFonts w:ascii="Arial" w:hAnsi="Arial"/>
      <w:i/>
    </w:rPr>
  </w:style>
  <w:style w:type="character" w:styleId="af">
    <w:name w:val="Hyperlink"/>
    <w:basedOn w:val="a0"/>
    <w:uiPriority w:val="99"/>
    <w:rsid w:val="00A97E1C"/>
    <w:rPr>
      <w:color w:val="0000FF"/>
      <w:u w:val="single"/>
    </w:rPr>
  </w:style>
  <w:style w:type="character" w:styleId="af0">
    <w:name w:val="FollowedHyperlink"/>
    <w:basedOn w:val="a0"/>
    <w:semiHidden/>
    <w:rsid w:val="00A97E1C"/>
    <w:rPr>
      <w:color w:val="800080"/>
      <w:u w:val="single"/>
    </w:rPr>
  </w:style>
  <w:style w:type="paragraph" w:styleId="33">
    <w:name w:val="Body Text Indent 3"/>
    <w:basedOn w:val="a"/>
    <w:link w:val="34"/>
    <w:uiPriority w:val="99"/>
    <w:semiHidden/>
    <w:rsid w:val="00A97E1C"/>
    <w:pPr>
      <w:ind w:firstLine="709"/>
      <w:jc w:val="both"/>
    </w:pPr>
    <w:rPr>
      <w:sz w:val="24"/>
    </w:rPr>
  </w:style>
  <w:style w:type="paragraph" w:customStyle="1" w:styleId="FR1">
    <w:name w:val="FR1"/>
    <w:rsid w:val="00A97E1C"/>
    <w:pPr>
      <w:widowControl w:val="0"/>
      <w:autoSpaceDE w:val="0"/>
      <w:autoSpaceDN w:val="0"/>
      <w:adjustRightInd w:val="0"/>
      <w:spacing w:before="20" w:line="380" w:lineRule="auto"/>
      <w:ind w:right="600" w:firstLine="460"/>
    </w:pPr>
    <w:rPr>
      <w:b/>
      <w:sz w:val="18"/>
    </w:rPr>
  </w:style>
  <w:style w:type="character" w:styleId="af1">
    <w:name w:val="footnote reference"/>
    <w:basedOn w:val="a0"/>
    <w:semiHidden/>
    <w:rsid w:val="00A97E1C"/>
    <w:rPr>
      <w:vertAlign w:val="superscript"/>
    </w:rPr>
  </w:style>
  <w:style w:type="paragraph" w:customStyle="1" w:styleId="text">
    <w:name w:val="text"/>
    <w:basedOn w:val="a"/>
    <w:uiPriority w:val="99"/>
    <w:rsid w:val="00A97E1C"/>
    <w:pPr>
      <w:spacing w:before="100" w:beforeAutospacing="1" w:after="100" w:afterAutospacing="1"/>
    </w:pPr>
    <w:rPr>
      <w:rFonts w:ascii="Arial Unicode MS" w:eastAsia="Arial Unicode MS" w:hAnsi="Arial Unicode MS" w:cs="Arial Unicode MS"/>
      <w:sz w:val="24"/>
      <w:szCs w:val="24"/>
    </w:rPr>
  </w:style>
  <w:style w:type="paragraph" w:styleId="af2">
    <w:name w:val="Normal (Web)"/>
    <w:basedOn w:val="a"/>
    <w:uiPriority w:val="99"/>
    <w:semiHidden/>
    <w:rsid w:val="00A97E1C"/>
    <w:pPr>
      <w:spacing w:before="100" w:beforeAutospacing="1" w:after="100" w:afterAutospacing="1"/>
    </w:pPr>
    <w:rPr>
      <w:rFonts w:ascii="Arial Unicode MS" w:eastAsia="Arial Unicode MS" w:hAnsi="Arial Unicode MS" w:cs="Arial Unicode MS"/>
      <w:sz w:val="24"/>
      <w:szCs w:val="24"/>
    </w:rPr>
  </w:style>
  <w:style w:type="paragraph" w:customStyle="1" w:styleId="af3">
    <w:name w:val="График"/>
    <w:next w:val="a"/>
    <w:rsid w:val="00A97E1C"/>
    <w:pPr>
      <w:keepNext/>
      <w:spacing w:after="240"/>
      <w:jc w:val="center"/>
      <w:outlineLvl w:val="0"/>
    </w:pPr>
    <w:rPr>
      <w:rFonts w:ascii="Arial" w:hAnsi="Arial"/>
      <w:b/>
      <w:noProof/>
      <w:sz w:val="22"/>
    </w:rPr>
  </w:style>
  <w:style w:type="paragraph" w:customStyle="1" w:styleId="12">
    <w:name w:val="Стиль1"/>
    <w:basedOn w:val="1"/>
    <w:autoRedefine/>
    <w:rsid w:val="00A97E1C"/>
    <w:pPr>
      <w:spacing w:line="180" w:lineRule="exact"/>
      <w:ind w:firstLine="720"/>
      <w:jc w:val="both"/>
    </w:pPr>
    <w:rPr>
      <w:rFonts w:cs="Arial"/>
      <w:b w:val="0"/>
      <w:sz w:val="16"/>
    </w:rPr>
  </w:style>
  <w:style w:type="paragraph" w:styleId="af4">
    <w:name w:val="caption"/>
    <w:basedOn w:val="a"/>
    <w:next w:val="a"/>
    <w:qFormat/>
    <w:rsid w:val="00A97E1C"/>
    <w:pPr>
      <w:ind w:firstLine="720"/>
      <w:jc w:val="both"/>
    </w:pPr>
    <w:rPr>
      <w:sz w:val="28"/>
    </w:rPr>
  </w:style>
  <w:style w:type="paragraph" w:customStyle="1" w:styleId="af5">
    <w:name w:val="Заголграф"/>
    <w:basedOn w:val="3"/>
    <w:rsid w:val="00A97E1C"/>
    <w:pPr>
      <w:spacing w:before="120" w:after="240"/>
      <w:ind w:firstLine="709"/>
      <w:outlineLvl w:val="9"/>
    </w:pPr>
    <w:rPr>
      <w:rFonts w:ascii="Arial" w:hAnsi="Arial"/>
      <w:sz w:val="22"/>
    </w:rPr>
  </w:style>
  <w:style w:type="paragraph" w:styleId="af6">
    <w:name w:val="Subtitle"/>
    <w:basedOn w:val="a"/>
    <w:qFormat/>
    <w:rsid w:val="00A97E1C"/>
    <w:pPr>
      <w:spacing w:before="120"/>
      <w:jc w:val="center"/>
    </w:pPr>
    <w:rPr>
      <w:rFonts w:ascii="Arial" w:hAnsi="Arial" w:cs="Arial"/>
      <w:b/>
      <w:bCs/>
    </w:rPr>
  </w:style>
  <w:style w:type="paragraph" w:styleId="af7">
    <w:name w:val="Document Map"/>
    <w:basedOn w:val="a"/>
    <w:link w:val="af8"/>
    <w:uiPriority w:val="99"/>
    <w:semiHidden/>
    <w:unhideWhenUsed/>
    <w:rsid w:val="0015657B"/>
    <w:rPr>
      <w:rFonts w:ascii="Tahoma" w:hAnsi="Tahoma" w:cs="Tahoma"/>
      <w:sz w:val="16"/>
      <w:szCs w:val="16"/>
    </w:rPr>
  </w:style>
  <w:style w:type="character" w:customStyle="1" w:styleId="af8">
    <w:name w:val="Схема документа Знак"/>
    <w:basedOn w:val="a0"/>
    <w:link w:val="af7"/>
    <w:uiPriority w:val="99"/>
    <w:semiHidden/>
    <w:rsid w:val="0015657B"/>
    <w:rPr>
      <w:rFonts w:ascii="Tahoma" w:hAnsi="Tahoma" w:cs="Tahoma"/>
      <w:sz w:val="16"/>
      <w:szCs w:val="16"/>
    </w:rPr>
  </w:style>
  <w:style w:type="paragraph" w:styleId="af9">
    <w:name w:val="Balloon Text"/>
    <w:basedOn w:val="a"/>
    <w:link w:val="afa"/>
    <w:uiPriority w:val="99"/>
    <w:semiHidden/>
    <w:unhideWhenUsed/>
    <w:rsid w:val="00095A32"/>
    <w:rPr>
      <w:rFonts w:ascii="Tahoma" w:hAnsi="Tahoma" w:cs="Tahoma"/>
      <w:sz w:val="16"/>
      <w:szCs w:val="16"/>
    </w:rPr>
  </w:style>
  <w:style w:type="character" w:customStyle="1" w:styleId="afa">
    <w:name w:val="Текст выноски Знак"/>
    <w:basedOn w:val="a0"/>
    <w:link w:val="af9"/>
    <w:uiPriority w:val="99"/>
    <w:semiHidden/>
    <w:rsid w:val="00095A32"/>
    <w:rPr>
      <w:rFonts w:ascii="Tahoma" w:hAnsi="Tahoma" w:cs="Tahoma"/>
      <w:sz w:val="16"/>
      <w:szCs w:val="16"/>
    </w:rPr>
  </w:style>
  <w:style w:type="paragraph" w:customStyle="1" w:styleId="24">
    <w:name w:val="Стиль2"/>
    <w:basedOn w:val="4"/>
    <w:link w:val="25"/>
    <w:qFormat/>
    <w:rsid w:val="00561AAD"/>
    <w:pPr>
      <w:spacing w:line="240" w:lineRule="auto"/>
    </w:pPr>
    <w:rPr>
      <w:rFonts w:cs="Arial"/>
      <w:bCs/>
      <w:sz w:val="22"/>
    </w:rPr>
  </w:style>
  <w:style w:type="character" w:customStyle="1" w:styleId="40">
    <w:name w:val="Заголовок 4 Знак"/>
    <w:basedOn w:val="a0"/>
    <w:link w:val="4"/>
    <w:rsid w:val="00561AAD"/>
    <w:rPr>
      <w:rFonts w:ascii="Arial" w:hAnsi="Arial"/>
      <w:b/>
      <w:sz w:val="18"/>
    </w:rPr>
  </w:style>
  <w:style w:type="character" w:customStyle="1" w:styleId="25">
    <w:name w:val="Стиль2 Знак"/>
    <w:basedOn w:val="40"/>
    <w:link w:val="24"/>
    <w:rsid w:val="00561AAD"/>
    <w:rPr>
      <w:rFonts w:ascii="Arial" w:hAnsi="Arial" w:cs="Arial"/>
      <w:b/>
      <w:bCs/>
      <w:sz w:val="22"/>
    </w:rPr>
  </w:style>
  <w:style w:type="character" w:customStyle="1" w:styleId="30">
    <w:name w:val="Заголовок 3 Знак"/>
    <w:basedOn w:val="a0"/>
    <w:link w:val="3"/>
    <w:uiPriority w:val="99"/>
    <w:rsid w:val="004425DB"/>
    <w:rPr>
      <w:b/>
    </w:rPr>
  </w:style>
  <w:style w:type="character" w:customStyle="1" w:styleId="80">
    <w:name w:val="Заголовок 8 Знак"/>
    <w:basedOn w:val="a0"/>
    <w:link w:val="8"/>
    <w:uiPriority w:val="99"/>
    <w:rsid w:val="004425DB"/>
    <w:rPr>
      <w:rFonts w:ascii="Arial" w:hAnsi="Arial" w:cs="Arial"/>
      <w:b/>
      <w:bCs/>
      <w:sz w:val="16"/>
    </w:rPr>
  </w:style>
  <w:style w:type="character" w:customStyle="1" w:styleId="ab">
    <w:name w:val="Основной текст с отступом Знак"/>
    <w:basedOn w:val="a0"/>
    <w:link w:val="aa"/>
    <w:uiPriority w:val="99"/>
    <w:semiHidden/>
    <w:rsid w:val="004425DB"/>
    <w:rPr>
      <w:rFonts w:ascii="Arial" w:hAnsi="Arial"/>
      <w:sz w:val="18"/>
    </w:rPr>
  </w:style>
  <w:style w:type="character" w:customStyle="1" w:styleId="34">
    <w:name w:val="Основной текст с отступом 3 Знак"/>
    <w:basedOn w:val="a0"/>
    <w:link w:val="33"/>
    <w:uiPriority w:val="99"/>
    <w:semiHidden/>
    <w:rsid w:val="004425DB"/>
    <w:rPr>
      <w:sz w:val="24"/>
    </w:rPr>
  </w:style>
  <w:style w:type="character" w:customStyle="1" w:styleId="23">
    <w:name w:val="Основной текст с отступом 2 Знак"/>
    <w:basedOn w:val="a0"/>
    <w:link w:val="22"/>
    <w:uiPriority w:val="99"/>
    <w:semiHidden/>
    <w:locked/>
    <w:rsid w:val="002130E7"/>
    <w:rPr>
      <w:rFonts w:ascii="Arial" w:hAnsi="Arial"/>
      <w:sz w:val="16"/>
    </w:rPr>
  </w:style>
  <w:style w:type="character" w:customStyle="1" w:styleId="a4">
    <w:name w:val="Название Знак"/>
    <w:basedOn w:val="a0"/>
    <w:link w:val="a3"/>
    <w:rsid w:val="00B34036"/>
    <w:rPr>
      <w:b/>
      <w:sz w:val="22"/>
    </w:rPr>
  </w:style>
  <w:style w:type="paragraph" w:styleId="afb">
    <w:name w:val="List Paragraph"/>
    <w:basedOn w:val="a"/>
    <w:uiPriority w:val="34"/>
    <w:qFormat/>
    <w:rsid w:val="0019294C"/>
    <w:pPr>
      <w:ind w:left="720"/>
      <w:contextualSpacing/>
    </w:pPr>
  </w:style>
  <w:style w:type="character" w:customStyle="1" w:styleId="10">
    <w:name w:val="Заголовок 1 Знак"/>
    <w:basedOn w:val="a0"/>
    <w:link w:val="1"/>
    <w:rsid w:val="0019294C"/>
    <w:rPr>
      <w:rFonts w:ascii="Arial" w:hAnsi="Arial"/>
      <w:b/>
      <w:i/>
      <w:caps/>
      <w:kern w:val="28"/>
      <w:sz w:val="24"/>
    </w:rPr>
  </w:style>
  <w:style w:type="character" w:customStyle="1" w:styleId="a6">
    <w:name w:val="Нижний колонтитул Знак"/>
    <w:basedOn w:val="a0"/>
    <w:link w:val="a5"/>
    <w:semiHidden/>
    <w:rsid w:val="0019294C"/>
  </w:style>
  <w:style w:type="character" w:customStyle="1" w:styleId="ae">
    <w:name w:val="Текст сноски Знак"/>
    <w:basedOn w:val="a0"/>
    <w:link w:val="ad"/>
    <w:semiHidden/>
    <w:rsid w:val="0019294C"/>
    <w:rPr>
      <w:rFonts w:ascii="Arial" w:hAnsi="Arial"/>
      <w:i/>
    </w:rPr>
  </w:style>
  <w:style w:type="table" w:styleId="afc">
    <w:name w:val="Table Grid"/>
    <w:basedOn w:val="a1"/>
    <w:uiPriority w:val="59"/>
    <w:rsid w:val="00B17FBD"/>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3">
    <w:name w:val="Основной текст с отступом1"/>
    <w:basedOn w:val="a"/>
    <w:rsid w:val="006F318B"/>
    <w:pPr>
      <w:spacing w:line="180" w:lineRule="exact"/>
      <w:ind w:firstLine="709"/>
      <w:jc w:val="both"/>
    </w:pPr>
    <w:rPr>
      <w:rFonts w:ascii="Arial" w:hAnsi="Arial" w:cs="Arial"/>
      <w:sz w:val="18"/>
    </w:rPr>
  </w:style>
  <w:style w:type="character" w:customStyle="1" w:styleId="70">
    <w:name w:val="Заголовок 7 Знак"/>
    <w:basedOn w:val="a0"/>
    <w:link w:val="7"/>
    <w:locked/>
    <w:rsid w:val="003C492E"/>
    <w:rPr>
      <w:rFonts w:ascii="Arial" w:hAnsi="Arial"/>
      <w:b/>
      <w:sz w:val="18"/>
    </w:rPr>
  </w:style>
  <w:style w:type="table" w:styleId="-6">
    <w:name w:val="Light List Accent 6"/>
    <w:basedOn w:val="a1"/>
    <w:uiPriority w:val="61"/>
    <w:rsid w:val="00ED01A7"/>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11">
    <w:name w:val="Светлый список - Акцент 11"/>
    <w:basedOn w:val="afd"/>
    <w:uiPriority w:val="61"/>
    <w:rsid w:val="00ED01A7"/>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35">
    <w:name w:val="Стиль3"/>
    <w:basedOn w:val="a3"/>
    <w:link w:val="36"/>
    <w:qFormat/>
    <w:rsid w:val="00ED01A7"/>
    <w:pPr>
      <w:spacing w:line="240" w:lineRule="auto"/>
    </w:pPr>
    <w:rPr>
      <w:rFonts w:ascii="Arial" w:hAnsi="Arial" w:cs="Arial"/>
    </w:rPr>
  </w:style>
  <w:style w:type="table" w:customStyle="1" w:styleId="14">
    <w:name w:val="1"/>
    <w:basedOn w:val="afd"/>
    <w:uiPriority w:val="99"/>
    <w:qFormat/>
    <w:rsid w:val="001A4EAC"/>
    <w:tblPr>
      <w:tblInd w:w="0" w:type="dxa"/>
      <w:tblCellMar>
        <w:top w:w="0" w:type="dxa"/>
        <w:left w:w="108" w:type="dxa"/>
        <w:bottom w:w="0" w:type="dxa"/>
        <w:right w:w="108" w:type="dxa"/>
      </w:tblCellMar>
    </w:tblPr>
  </w:style>
  <w:style w:type="character" w:customStyle="1" w:styleId="36">
    <w:name w:val="Стиль3 Знак"/>
    <w:basedOn w:val="a4"/>
    <w:link w:val="35"/>
    <w:rsid w:val="00ED01A7"/>
    <w:rPr>
      <w:rFonts w:ascii="Arial" w:hAnsi="Arial" w:cs="Arial"/>
      <w:b/>
      <w:sz w:val="22"/>
    </w:rPr>
  </w:style>
  <w:style w:type="character" w:styleId="afe">
    <w:name w:val="Strong"/>
    <w:basedOn w:val="a0"/>
    <w:uiPriority w:val="22"/>
    <w:qFormat/>
    <w:rsid w:val="00607F81"/>
    <w:rPr>
      <w:b/>
      <w:bCs/>
    </w:rPr>
  </w:style>
  <w:style w:type="character" w:customStyle="1" w:styleId="FontStyle15">
    <w:name w:val="Font Style15"/>
    <w:basedOn w:val="a0"/>
    <w:uiPriority w:val="99"/>
    <w:rsid w:val="0044009A"/>
    <w:rPr>
      <w:rFonts w:ascii="Cambria" w:hAnsi="Cambria" w:cs="Cambria"/>
      <w:sz w:val="18"/>
      <w:szCs w:val="18"/>
    </w:rPr>
  </w:style>
  <w:style w:type="table" w:customStyle="1" w:styleId="-12">
    <w:name w:val="Светлый список - Акцент 12"/>
    <w:basedOn w:val="afd"/>
    <w:uiPriority w:val="61"/>
    <w:rsid w:val="00473B30"/>
    <w:rPr>
      <w:rFonts w:ascii="Arial" w:hAnsi="Arial"/>
      <w:color w:val="000000" w:themeColor="text1"/>
      <w:sz w:val="18"/>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cPr>
      <w:shd w:val="clear" w:color="auto" w:fill="auto"/>
    </w:tcPr>
    <w:tblStylePr w:type="firstRow">
      <w:pPr>
        <w:spacing w:before="0" w:after="0" w:line="240" w:lineRule="auto"/>
      </w:pPr>
      <w:rPr>
        <w:b w:val="0"/>
        <w:bCs/>
        <w:color w:val="0D0D0D" w:themeColor="text1" w:themeTint="F2"/>
      </w:rPr>
      <w:tblPr/>
      <w:tcPr>
        <w:shd w:val="clear" w:color="auto" w:fill="B8CCE4" w:themeFill="accent1" w:themeFillTint="66"/>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5">
    <w:name w:val="Light Shading Accent 5"/>
    <w:basedOn w:val="a1"/>
    <w:uiPriority w:val="60"/>
    <w:rsid w:val="000C6EB8"/>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50">
    <w:name w:val="Light List Accent 5"/>
    <w:aliases w:val="Светлый список - Акцент11"/>
    <w:basedOn w:val="-11"/>
    <w:uiPriority w:val="61"/>
    <w:rsid w:val="000C6EB8"/>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fd">
    <w:name w:val="история"/>
    <w:basedOn w:val="a1"/>
    <w:uiPriority w:val="99"/>
    <w:qFormat/>
    <w:rsid w:val="00473B30"/>
    <w:tblPr>
      <w:tblInd w:w="0" w:type="dxa"/>
      <w:tblCellMar>
        <w:top w:w="0" w:type="dxa"/>
        <w:left w:w="108" w:type="dxa"/>
        <w:bottom w:w="0" w:type="dxa"/>
        <w:right w:w="108" w:type="dxa"/>
      </w:tblCellMar>
    </w:tblPr>
  </w:style>
  <w:style w:type="paragraph" w:customStyle="1" w:styleId="aff">
    <w:name w:val="Шапка таблицы"/>
    <w:basedOn w:val="a"/>
    <w:rsid w:val="0095321F"/>
    <w:pPr>
      <w:spacing w:before="20" w:after="20" w:line="240" w:lineRule="exact"/>
      <w:jc w:val="center"/>
    </w:pPr>
    <w:rPr>
      <w:rFonts w:ascii="Arial" w:hAnsi="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376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oleObject" Target="embeddings/oleObject1.bin"/><Relationship Id="rId26" Type="http://schemas.openxmlformats.org/officeDocument/2006/relationships/image" Target="media/image10.jpeg"/><Relationship Id="rId39" Type="http://schemas.openxmlformats.org/officeDocument/2006/relationships/image" Target="media/image24.jpeg"/><Relationship Id="rId21" Type="http://schemas.openxmlformats.org/officeDocument/2006/relationships/image" Target="media/image7.jpeg"/><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chart" Target="charts/chart8.xml"/><Relationship Id="rId50" Type="http://schemas.openxmlformats.org/officeDocument/2006/relationships/chart" Target="charts/chart10.xml"/><Relationship Id="rId55" Type="http://schemas.openxmlformats.org/officeDocument/2006/relationships/chart" Target="charts/chart13.xml"/><Relationship Id="rId63" Type="http://schemas.openxmlformats.org/officeDocument/2006/relationships/image" Target="media/image40.jpeg"/><Relationship Id="rId68" Type="http://schemas.openxmlformats.org/officeDocument/2006/relationships/chart" Target="charts/chart22.xml"/><Relationship Id="rId76" Type="http://schemas.openxmlformats.org/officeDocument/2006/relationships/oleObject" Target="embeddings/oleObject4.bin"/><Relationship Id="rId84" Type="http://schemas.openxmlformats.org/officeDocument/2006/relationships/chart" Target="charts/chart32.xml"/><Relationship Id="rId89" Type="http://schemas.openxmlformats.org/officeDocument/2006/relationships/hyperlink" Target="mailto:ulobl@statcom.mv.ru" TargetMode="External"/><Relationship Id="rId7" Type="http://schemas.openxmlformats.org/officeDocument/2006/relationships/footnotes" Target="footnotes.xml"/><Relationship Id="rId71" Type="http://schemas.openxmlformats.org/officeDocument/2006/relationships/chart" Target="charts/chart25.xm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1.xml"/><Relationship Id="rId11" Type="http://schemas.openxmlformats.org/officeDocument/2006/relationships/footer" Target="footer2.xml"/><Relationship Id="rId24" Type="http://schemas.openxmlformats.org/officeDocument/2006/relationships/image" Target="media/image8.emf"/><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chart" Target="charts/chart3.xml"/><Relationship Id="rId45" Type="http://schemas.openxmlformats.org/officeDocument/2006/relationships/chart" Target="charts/chart6.xml"/><Relationship Id="rId53" Type="http://schemas.openxmlformats.org/officeDocument/2006/relationships/image" Target="media/image34.jpeg"/><Relationship Id="rId58" Type="http://schemas.openxmlformats.org/officeDocument/2006/relationships/chart" Target="charts/chart15.xml"/><Relationship Id="rId66" Type="http://schemas.openxmlformats.org/officeDocument/2006/relationships/image" Target="media/image41.jpeg"/><Relationship Id="rId74" Type="http://schemas.openxmlformats.org/officeDocument/2006/relationships/oleObject" Target="embeddings/oleObject3.bin"/><Relationship Id="rId79" Type="http://schemas.openxmlformats.org/officeDocument/2006/relationships/chart" Target="charts/chart28.xml"/><Relationship Id="rId87" Type="http://schemas.openxmlformats.org/officeDocument/2006/relationships/chart" Target="charts/chart35.xml"/><Relationship Id="rId5" Type="http://schemas.openxmlformats.org/officeDocument/2006/relationships/settings" Target="settings.xml"/><Relationship Id="rId61" Type="http://schemas.openxmlformats.org/officeDocument/2006/relationships/chart" Target="charts/chart17.xml"/><Relationship Id="rId82" Type="http://schemas.openxmlformats.org/officeDocument/2006/relationships/chart" Target="charts/chart31.xml"/><Relationship Id="rId90" Type="http://schemas.openxmlformats.org/officeDocument/2006/relationships/footer" Target="footer5.xml"/><Relationship Id="rId19" Type="http://schemas.openxmlformats.org/officeDocument/2006/relationships/oleObject" Target="embeddings/oleObject2.bin"/><Relationship Id="rId14" Type="http://schemas.openxmlformats.org/officeDocument/2006/relationships/image" Target="media/image2.png"/><Relationship Id="rId22" Type="http://schemas.openxmlformats.org/officeDocument/2006/relationships/hyperlink" Target="http://ru.wikipedia.org/wiki/%D0%A3%D0%BB%D1%8C%D1%8F%D0%BD%D0%BE%D0%B2%D1%81%D0%BA%D0%B8%D0%B9_%D0%BC%D0%BE%D1%81%D1%82" TargetMode="External"/><Relationship Id="rId27" Type="http://schemas.openxmlformats.org/officeDocument/2006/relationships/image" Target="media/image11.jpeg"/><Relationship Id="rId30" Type="http://schemas.openxmlformats.org/officeDocument/2006/relationships/chart" Target="charts/chart2.xml"/><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chart" Target="charts/chart19.xml"/><Relationship Id="rId69" Type="http://schemas.openxmlformats.org/officeDocument/2006/relationships/chart" Target="charts/chart23.xml"/><Relationship Id="rId77"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chart" Target="charts/chart26.xml"/><Relationship Id="rId80" Type="http://schemas.openxmlformats.org/officeDocument/2006/relationships/chart" Target="charts/chart29.xml"/><Relationship Id="rId85" Type="http://schemas.openxmlformats.org/officeDocument/2006/relationships/chart" Target="charts/chart33.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9.emf"/><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chart" Target="charts/chart7.xml"/><Relationship Id="rId59" Type="http://schemas.openxmlformats.org/officeDocument/2006/relationships/chart" Target="charts/chart16.xml"/><Relationship Id="rId67" Type="http://schemas.openxmlformats.org/officeDocument/2006/relationships/chart" Target="charts/chart21.xml"/><Relationship Id="rId20" Type="http://schemas.openxmlformats.org/officeDocument/2006/relationships/image" Target="media/image6.jpeg"/><Relationship Id="rId41" Type="http://schemas.openxmlformats.org/officeDocument/2006/relationships/chart" Target="charts/chart4.xml"/><Relationship Id="rId54" Type="http://schemas.openxmlformats.org/officeDocument/2006/relationships/chart" Target="charts/chart12.xml"/><Relationship Id="rId62" Type="http://schemas.openxmlformats.org/officeDocument/2006/relationships/chart" Target="charts/chart18.xml"/><Relationship Id="rId70" Type="http://schemas.openxmlformats.org/officeDocument/2006/relationships/chart" Target="charts/chart24.xml"/><Relationship Id="rId75" Type="http://schemas.openxmlformats.org/officeDocument/2006/relationships/image" Target="media/image44.emf"/><Relationship Id="rId83" Type="http://schemas.openxmlformats.org/officeDocument/2006/relationships/image" Target="media/image49.jpeg"/><Relationship Id="rId88" Type="http://schemas.openxmlformats.org/officeDocument/2006/relationships/footer" Target="footer4.xm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ru.wikipedia.org/wiki/%D0%A3%D0%BB%D1%8C%D1%8F%D0%BD%D0%BE%D0%B2%D1%81%D0%BA%D0%B8%D0%B9_%D0%BC%D0%BE%D1%81%D1%82_(%D0%BD%D0%BE%D0%B2%D1%8B%D0%B9)" TargetMode="External"/><Relationship Id="rId28" Type="http://schemas.openxmlformats.org/officeDocument/2006/relationships/image" Target="media/image12.jpeg"/><Relationship Id="rId36" Type="http://schemas.openxmlformats.org/officeDocument/2006/relationships/image" Target="media/image21.jpeg"/><Relationship Id="rId49" Type="http://schemas.openxmlformats.org/officeDocument/2006/relationships/chart" Target="charts/chart9.xml"/><Relationship Id="rId57" Type="http://schemas.openxmlformats.org/officeDocument/2006/relationships/chart" Target="charts/chart14.xml"/><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chart" Target="charts/chart5.xml"/><Relationship Id="rId52" Type="http://schemas.openxmlformats.org/officeDocument/2006/relationships/chart" Target="charts/chart11.xml"/><Relationship Id="rId60" Type="http://schemas.openxmlformats.org/officeDocument/2006/relationships/image" Target="media/image39.jpeg"/><Relationship Id="rId65" Type="http://schemas.openxmlformats.org/officeDocument/2006/relationships/chart" Target="charts/chart20.xml"/><Relationship Id="rId73" Type="http://schemas.openxmlformats.org/officeDocument/2006/relationships/image" Target="media/image43.emf"/><Relationship Id="rId78" Type="http://schemas.openxmlformats.org/officeDocument/2006/relationships/chart" Target="charts/chart27.xml"/><Relationship Id="rId81" Type="http://schemas.openxmlformats.org/officeDocument/2006/relationships/chart" Target="charts/chart30.xml"/><Relationship Id="rId86" Type="http://schemas.openxmlformats.org/officeDocument/2006/relationships/chart" Target="charts/chart34.xml"/><Relationship Id="rId4" Type="http://schemas.microsoft.com/office/2007/relationships/stylesWithEffects" Target="stylesWithEffects.xml"/><Relationship Id="rId9" Type="http://schemas.openxmlformats.org/officeDocument/2006/relationships/hyperlink" Target="mailto:ulobl@statcom.mv.ru"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openxmlformats.org/officeDocument/2006/relationships/image" Target="../media/image14.jpeg"/><Relationship Id="rId1" Type="http://schemas.openxmlformats.org/officeDocument/2006/relationships/image" Target="../media/image13.jpeg"/></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image" Target="../media/image31.jpeg"/></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image" Target="../media/image33.jpeg"/></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image" Target="../media/image35.jpeg"/></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image" Target="../media/image36.jpeg"/></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image" Target="../media/image38.jpeg"/></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xml"/></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image" Target="../media/image15.jpeg"/></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3.xm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_____Microsoft_Excel24.xlsx"/><Relationship Id="rId2" Type="http://schemas.openxmlformats.org/officeDocument/2006/relationships/image" Target="../media/image42.jpeg"/><Relationship Id="rId1" Type="http://schemas.openxmlformats.org/officeDocument/2006/relationships/themeOverride" Target="../theme/themeOverride4.xml"/></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28.xlsx"/></Relationships>
</file>

<file path=word/charts/_rels/chart29.xml.rels><?xml version="1.0" encoding="UTF-8" standalone="yes"?>
<Relationships xmlns="http://schemas.openxmlformats.org/package/2006/relationships"><Relationship Id="rId3" Type="http://schemas.openxmlformats.org/officeDocument/2006/relationships/package" Target="../embeddings/_____Microsoft_Excel29.xlsx"/><Relationship Id="rId2" Type="http://schemas.openxmlformats.org/officeDocument/2006/relationships/image" Target="../media/image47.jpeg"/><Relationship Id="rId1" Type="http://schemas.openxmlformats.org/officeDocument/2006/relationships/image" Target="../media/image46.jpeg"/></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30.xlsx"/><Relationship Id="rId1" Type="http://schemas.openxmlformats.org/officeDocument/2006/relationships/image" Target="../media/image48.jpeg"/></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3" Type="http://schemas.openxmlformats.org/officeDocument/2006/relationships/package" Target="../embeddings/_____Microsoft_Excel34.xlsx"/><Relationship Id="rId2" Type="http://schemas.openxmlformats.org/officeDocument/2006/relationships/image" Target="../media/image50.jpeg"/><Relationship Id="rId1" Type="http://schemas.openxmlformats.org/officeDocument/2006/relationships/themeOverride" Target="../theme/themeOverride5.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6.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image" Target="../media/image25.jpeg"/></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image" Target="../media/image28.jpeg"/></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image" Target="../media/image30.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gradFill>
          <a:gsLst>
            <a:gs pos="0">
              <a:srgbClr val="FBEAC7">
                <a:alpha val="0"/>
              </a:srgbClr>
            </a:gs>
            <a:gs pos="17999">
              <a:srgbClr val="FEE7F2"/>
            </a:gs>
            <a:gs pos="36000">
              <a:srgbClr val="FAC77D"/>
            </a:gs>
            <a:gs pos="61000">
              <a:srgbClr val="FBA97D"/>
            </a:gs>
            <a:gs pos="82001">
              <a:srgbClr val="FBD49C"/>
            </a:gs>
            <a:gs pos="100000">
              <a:srgbClr val="FEE7F2"/>
            </a:gs>
          </a:gsLst>
          <a:lin ang="5400000" scaled="0"/>
        </a:gradFill>
        <a:ln w="25399">
          <a:noFill/>
        </a:ln>
      </c:spPr>
    </c:sideWall>
    <c:backWall>
      <c:thickness val="0"/>
      <c:spPr>
        <a:gradFill>
          <a:gsLst>
            <a:gs pos="0">
              <a:srgbClr val="FBEAC7">
                <a:alpha val="0"/>
              </a:srgbClr>
            </a:gs>
            <a:gs pos="17999">
              <a:srgbClr val="FEE7F2"/>
            </a:gs>
            <a:gs pos="36000">
              <a:srgbClr val="FAC77D"/>
            </a:gs>
            <a:gs pos="61000">
              <a:srgbClr val="FBA97D"/>
            </a:gs>
            <a:gs pos="82001">
              <a:srgbClr val="FBD49C"/>
            </a:gs>
            <a:gs pos="100000">
              <a:srgbClr val="FEE7F2"/>
            </a:gs>
          </a:gsLst>
          <a:lin ang="5400000" scaled="0"/>
        </a:gradFill>
        <a:ln w="25399">
          <a:noFill/>
        </a:ln>
      </c:spPr>
    </c:backWall>
    <c:plotArea>
      <c:layout>
        <c:manualLayout>
          <c:layoutTarget val="inner"/>
          <c:xMode val="edge"/>
          <c:yMode val="edge"/>
          <c:x val="6.0455458795618817E-2"/>
          <c:y val="2.511732873021728E-2"/>
          <c:w val="0.93954454120438113"/>
          <c:h val="0.754914386117432"/>
        </c:manualLayout>
      </c:layout>
      <c:bar3DChart>
        <c:barDir val="col"/>
        <c:grouping val="stacked"/>
        <c:varyColors val="0"/>
        <c:ser>
          <c:idx val="0"/>
          <c:order val="0"/>
          <c:tx>
            <c:strRef>
              <c:f>Sheet1!$A$2</c:f>
              <c:strCache>
                <c:ptCount val="1"/>
                <c:pt idx="0">
                  <c:v>Занятые в экономике</c:v>
                </c:pt>
              </c:strCache>
            </c:strRef>
          </c:tx>
          <c:spPr>
            <a:blipFill dpi="0" rotWithShape="0">
              <a:blip xmlns:r="http://schemas.openxmlformats.org/officeDocument/2006/relationships" r:embed="rId1"/>
              <a:srcRect/>
              <a:tile tx="0" ty="0" sx="100000" sy="100000" flip="none" algn="tl"/>
            </a:blipFill>
            <a:ln w="12700">
              <a:solidFill>
                <a:schemeClr val="bg2">
                  <a:lumMod val="50000"/>
                </a:schemeClr>
              </a:solidFill>
              <a:prstDash val="solid"/>
            </a:ln>
            <a:scene3d>
              <a:camera prst="orthographicFront"/>
              <a:lightRig rig="threePt" dir="t"/>
            </a:scene3d>
            <a:sp3d>
              <a:bevelT w="133350"/>
              <a:bevelB/>
              <a:contourClr>
                <a:srgbClr val="000000"/>
              </a:contourClr>
            </a:sp3d>
          </c:spPr>
          <c:invertIfNegative val="0"/>
          <c:dLbls>
            <c:dLbl>
              <c:idx val="1"/>
              <c:tx>
                <c:rich>
                  <a:bodyPr/>
                  <a:lstStyle/>
                  <a:p>
                    <a:r>
                      <a:rPr lang="en-US"/>
                      <a:t>93.</a:t>
                    </a:r>
                    <a:r>
                      <a:rPr lang="ru-RU"/>
                      <a:t>4</a:t>
                    </a:r>
                    <a:endParaRPr lang="en-US"/>
                  </a:p>
                </c:rich>
              </c:tx>
              <c:showLegendKey val="0"/>
              <c:showVal val="1"/>
              <c:showCatName val="0"/>
              <c:showSerName val="0"/>
              <c:showPercent val="0"/>
              <c:showBubbleSize val="0"/>
            </c:dLbl>
            <c:dLbl>
              <c:idx val="3"/>
              <c:tx>
                <c:rich>
                  <a:bodyPr/>
                  <a:lstStyle/>
                  <a:p>
                    <a:r>
                      <a:rPr lang="ru-RU"/>
                      <a:t>93.1</a:t>
                    </a:r>
                  </a:p>
                </c:rich>
              </c:tx>
              <c:showLegendKey val="0"/>
              <c:showVal val="0"/>
              <c:showCatName val="0"/>
              <c:showSerName val="0"/>
              <c:showPercent val="0"/>
              <c:showBubbleSize val="0"/>
            </c:dLbl>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Sheet1!$B$1:$E$1</c:f>
              <c:numCache>
                <c:formatCode>General</c:formatCode>
                <c:ptCount val="4"/>
                <c:pt idx="0">
                  <c:v>1995</c:v>
                </c:pt>
                <c:pt idx="1">
                  <c:v>2000</c:v>
                </c:pt>
                <c:pt idx="2">
                  <c:v>2005</c:v>
                </c:pt>
                <c:pt idx="3">
                  <c:v>2011</c:v>
                </c:pt>
              </c:numCache>
            </c:numRef>
          </c:cat>
          <c:val>
            <c:numRef>
              <c:f>Sheet1!$B$2:$E$2</c:f>
              <c:numCache>
                <c:formatCode>General</c:formatCode>
                <c:ptCount val="4"/>
                <c:pt idx="0" formatCode="0.0">
                  <c:v>92</c:v>
                </c:pt>
                <c:pt idx="1">
                  <c:v>93.6</c:v>
                </c:pt>
                <c:pt idx="2">
                  <c:v>92.3</c:v>
                </c:pt>
                <c:pt idx="3">
                  <c:v>93.1</c:v>
                </c:pt>
              </c:numCache>
            </c:numRef>
          </c:val>
        </c:ser>
        <c:ser>
          <c:idx val="1"/>
          <c:order val="1"/>
          <c:tx>
            <c:strRef>
              <c:f>Sheet1!$A$3</c:f>
              <c:strCache>
                <c:ptCount val="1"/>
                <c:pt idx="0">
                  <c:v>Безработные</c:v>
                </c:pt>
              </c:strCache>
            </c:strRef>
          </c:tx>
          <c:spPr>
            <a:blipFill dpi="0" rotWithShape="0">
              <a:blip xmlns:r="http://schemas.openxmlformats.org/officeDocument/2006/relationships" r:embed="rId2"/>
              <a:srcRect/>
              <a:tile tx="0" ty="0" sx="100000" sy="100000" flip="none" algn="tl"/>
            </a:blipFill>
            <a:ln w="12700">
              <a:solidFill>
                <a:schemeClr val="bg2">
                  <a:lumMod val="90000"/>
                </a:schemeClr>
              </a:solidFill>
              <a:prstDash val="solid"/>
            </a:ln>
            <a:scene3d>
              <a:camera prst="orthographicFront"/>
              <a:lightRig rig="threePt" dir="t"/>
            </a:scene3d>
            <a:sp3d>
              <a:bevelT w="120650"/>
              <a:bevelB/>
            </a:sp3d>
          </c:spPr>
          <c:invertIfNegative val="0"/>
          <c:dLbls>
            <c:dLbl>
              <c:idx val="1"/>
              <c:tx>
                <c:rich>
                  <a:bodyPr/>
                  <a:lstStyle/>
                  <a:p>
                    <a:r>
                      <a:rPr lang="en-US"/>
                      <a:t>6.</a:t>
                    </a:r>
                    <a:r>
                      <a:rPr lang="ru-RU"/>
                      <a:t>6</a:t>
                    </a:r>
                    <a:endParaRPr lang="en-US"/>
                  </a:p>
                </c:rich>
              </c:tx>
              <c:showLegendKey val="0"/>
              <c:showVal val="1"/>
              <c:showCatName val="0"/>
              <c:showSerName val="0"/>
              <c:showPercent val="0"/>
              <c:showBubbleSize val="0"/>
            </c:dLbl>
            <c:numFmt formatCode="0.0" sourceLinked="0"/>
            <c:spPr>
              <a:solidFill>
                <a:srgbClr val="FFFFFF"/>
              </a:solidFill>
              <a:ln w="3175">
                <a:solidFill>
                  <a:srgbClr val="000000"/>
                </a:solidFill>
                <a:prstDash val="solid"/>
              </a:ln>
            </c:spPr>
            <c:txPr>
              <a:bodyPr/>
              <a:lstStyle/>
              <a:p>
                <a:pPr>
                  <a:defRPr sz="1000" b="0" i="0" u="none" strike="noStrike" baseline="0">
                    <a:solidFill>
                      <a:srgbClr val="000000"/>
                    </a:solidFill>
                    <a:latin typeface="Arial" pitchFamily="34" charset="0"/>
                    <a:ea typeface="Times New Roman"/>
                    <a:cs typeface="Arial" pitchFamily="34" charset="0"/>
                  </a:defRPr>
                </a:pPr>
                <a:endParaRPr lang="ru-RU"/>
              </a:p>
            </c:txPr>
            <c:showLegendKey val="0"/>
            <c:showVal val="1"/>
            <c:showCatName val="0"/>
            <c:showSerName val="0"/>
            <c:showPercent val="0"/>
            <c:showBubbleSize val="0"/>
            <c:showLeaderLines val="0"/>
          </c:dLbls>
          <c:cat>
            <c:numRef>
              <c:f>Sheet1!$B$1:$E$1</c:f>
              <c:numCache>
                <c:formatCode>General</c:formatCode>
                <c:ptCount val="4"/>
                <c:pt idx="0">
                  <c:v>1995</c:v>
                </c:pt>
                <c:pt idx="1">
                  <c:v>2000</c:v>
                </c:pt>
                <c:pt idx="2">
                  <c:v>2005</c:v>
                </c:pt>
                <c:pt idx="3">
                  <c:v>2011</c:v>
                </c:pt>
              </c:numCache>
            </c:numRef>
          </c:cat>
          <c:val>
            <c:numRef>
              <c:f>Sheet1!$B$3:$E$3</c:f>
              <c:numCache>
                <c:formatCode>General</c:formatCode>
                <c:ptCount val="4"/>
                <c:pt idx="0">
                  <c:v>8</c:v>
                </c:pt>
                <c:pt idx="1">
                  <c:v>6.6</c:v>
                </c:pt>
                <c:pt idx="2">
                  <c:v>7.7</c:v>
                </c:pt>
                <c:pt idx="3">
                  <c:v>6.9</c:v>
                </c:pt>
              </c:numCache>
            </c:numRef>
          </c:val>
        </c:ser>
        <c:dLbls>
          <c:showLegendKey val="0"/>
          <c:showVal val="1"/>
          <c:showCatName val="0"/>
          <c:showSerName val="0"/>
          <c:showPercent val="0"/>
          <c:showBubbleSize val="0"/>
        </c:dLbls>
        <c:gapWidth val="50"/>
        <c:shape val="box"/>
        <c:axId val="338352000"/>
        <c:axId val="339698048"/>
        <c:axId val="0"/>
      </c:bar3DChart>
      <c:catAx>
        <c:axId val="338352000"/>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pitchFamily="34" charset="0"/>
                <a:ea typeface="Times New Roman"/>
                <a:cs typeface="Arial" pitchFamily="34" charset="0"/>
              </a:defRPr>
            </a:pPr>
            <a:endParaRPr lang="ru-RU"/>
          </a:p>
        </c:txPr>
        <c:crossAx val="339698048"/>
        <c:crossesAt val="0"/>
        <c:auto val="0"/>
        <c:lblAlgn val="ctr"/>
        <c:lblOffset val="100"/>
        <c:tickLblSkip val="1"/>
        <c:tickMarkSkip val="1"/>
        <c:noMultiLvlLbl val="0"/>
      </c:catAx>
      <c:valAx>
        <c:axId val="339698048"/>
        <c:scaling>
          <c:orientation val="minMax"/>
          <c:min val="60"/>
        </c:scaling>
        <c:delete val="0"/>
        <c:axPos val="l"/>
        <c:numFmt formatCode="General" sourceLinked="0"/>
        <c:majorTickMark val="cross"/>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pitchFamily="34" charset="0"/>
                <a:ea typeface="Times New Roman"/>
                <a:cs typeface="Arial" pitchFamily="34" charset="0"/>
              </a:defRPr>
            </a:pPr>
            <a:endParaRPr lang="ru-RU"/>
          </a:p>
        </c:txPr>
        <c:crossAx val="338352000"/>
        <c:crosses val="autoZero"/>
        <c:crossBetween val="between"/>
        <c:majorUnit val="10"/>
      </c:valAx>
    </c:plotArea>
    <c:legend>
      <c:legendPos val="r"/>
      <c:layout>
        <c:manualLayout>
          <c:xMode val="edge"/>
          <c:yMode val="edge"/>
          <c:x val="3.9606848843670252E-2"/>
          <c:y val="0.93803323774331182"/>
          <c:w val="0.90734824281150162"/>
          <c:h val="6.0074573816217433E-2"/>
        </c:manualLayout>
      </c:layout>
      <c:overlay val="0"/>
      <c:spPr>
        <a:noFill/>
        <a:ln w="25399">
          <a:noFill/>
        </a:ln>
      </c:spPr>
      <c:txPr>
        <a:bodyPr/>
        <a:lstStyle/>
        <a:p>
          <a:pPr>
            <a:defRPr sz="1400" b="0" i="0" u="none" strike="noStrike" baseline="0">
              <a:solidFill>
                <a:srgbClr val="000000"/>
              </a:solidFill>
              <a:latin typeface="Arial"/>
              <a:ea typeface="Arial"/>
              <a:cs typeface="Arial"/>
            </a:defRPr>
          </a:pPr>
          <a:endParaRPr lang="ru-RU"/>
        </a:p>
      </c:txPr>
    </c:legend>
    <c:plotVisOnly val="1"/>
    <c:dispBlanksAs val="gap"/>
    <c:showDLblsOverMax val="0"/>
  </c:chart>
  <c:spPr>
    <a:gradFill>
      <a:gsLst>
        <a:gs pos="0">
          <a:srgbClr val="FBEAC7">
            <a:alpha val="46000"/>
          </a:srgbClr>
        </a:gs>
        <a:gs pos="17999">
          <a:srgbClr val="FEE7F2"/>
        </a:gs>
        <a:gs pos="36000">
          <a:srgbClr val="FAC77D"/>
        </a:gs>
        <a:gs pos="61000">
          <a:srgbClr val="FBA97D"/>
        </a:gs>
        <a:gs pos="82001">
          <a:srgbClr val="FBD49C"/>
        </a:gs>
        <a:gs pos="100000">
          <a:srgbClr val="FEE7F2"/>
        </a:gs>
      </a:gsLst>
      <a:lin ang="5400000" scaled="0"/>
    </a:gradFill>
    <a:ln w="38100" cap="flat" cmpd="dbl" algn="ctr">
      <a:solidFill>
        <a:srgbClr val="000000"/>
      </a:solidFill>
      <a:prstDash val="solid"/>
      <a:miter lim="800000"/>
      <a:headEnd type="none" w="med" len="med"/>
      <a:tailEnd type="none" w="med" len="med"/>
    </a:ln>
  </c:spPr>
  <c:txPr>
    <a:bodyPr/>
    <a:lstStyle/>
    <a:p>
      <a:pPr>
        <a:defRPr sz="975" b="1" i="0" u="none" strike="noStrike" baseline="0">
          <a:solidFill>
            <a:srgbClr val="000000"/>
          </a:solidFill>
          <a:latin typeface="Arial"/>
          <a:ea typeface="Arial"/>
          <a:cs typeface="Arial"/>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197832348394624E-2"/>
          <c:y val="7.3578595317725759E-2"/>
          <c:w val="0.91025956754586912"/>
          <c:h val="0.7052442335135477"/>
        </c:manualLayout>
      </c:layout>
      <c:lineChart>
        <c:grouping val="standard"/>
        <c:varyColors val="0"/>
        <c:ser>
          <c:idx val="1"/>
          <c:order val="0"/>
          <c:tx>
            <c:strRef>
              <c:f>Sheet1!$C$1</c:f>
              <c:strCache>
                <c:ptCount val="1"/>
                <c:pt idx="0">
                  <c:v>школы</c:v>
                </c:pt>
              </c:strCache>
            </c:strRef>
          </c:tx>
          <c:spPr>
            <a:ln w="34925">
              <a:solidFill>
                <a:srgbClr val="FFC000"/>
              </a:solidFill>
              <a:prstDash val="solid"/>
            </a:ln>
          </c:spPr>
          <c:marker>
            <c:symbol val="triangle"/>
            <c:size val="10"/>
            <c:spPr>
              <a:solidFill>
                <a:srgbClr val="008000"/>
              </a:solidFill>
              <a:ln w="15875">
                <a:solidFill>
                  <a:srgbClr val="FFC000"/>
                </a:solidFill>
                <a:prstDash val="solid"/>
              </a:ln>
            </c:spPr>
          </c:marker>
          <c:dLbls>
            <c:spPr>
              <a:solidFill>
                <a:srgbClr val="FFFF00">
                  <a:alpha val="51000"/>
                </a:srgbClr>
              </a:solidFill>
              <a:ln w="25399">
                <a:noFill/>
              </a:ln>
            </c:spPr>
            <c:txPr>
              <a:bodyPr/>
              <a:lstStyle/>
              <a:p>
                <a:pPr>
                  <a:defRPr sz="1000" b="1" i="0" u="none" strike="noStrike" baseline="0">
                    <a:solidFill>
                      <a:srgbClr val="000000"/>
                    </a:solidFill>
                    <a:latin typeface="Arial" pitchFamily="34" charset="0"/>
                    <a:ea typeface="Times New Roman"/>
                    <a:cs typeface="Times New Roman"/>
                  </a:defRPr>
                </a:pPr>
                <a:endParaRPr lang="ru-RU"/>
              </a:p>
            </c:txPr>
            <c:dLblPos val="t"/>
            <c:showLegendKey val="0"/>
            <c:showVal val="1"/>
            <c:showCatName val="0"/>
            <c:showSerName val="0"/>
            <c:showPercent val="0"/>
            <c:showBubbleSize val="0"/>
            <c:showLeaderLines val="0"/>
          </c:dLbls>
          <c:cat>
            <c:numRef>
              <c:f>Sheet1!$A$2:$A$13</c:f>
              <c:numCache>
                <c:formatCode>General</c:formatCode>
                <c:ptCount val="12"/>
                <c:pt idx="0">
                  <c:v>1960</c:v>
                </c:pt>
                <c:pt idx="1">
                  <c:v>1965</c:v>
                </c:pt>
                <c:pt idx="2">
                  <c:v>1970</c:v>
                </c:pt>
                <c:pt idx="3">
                  <c:v>1975</c:v>
                </c:pt>
                <c:pt idx="4">
                  <c:v>1980</c:v>
                </c:pt>
                <c:pt idx="5">
                  <c:v>1985</c:v>
                </c:pt>
                <c:pt idx="6">
                  <c:v>1990</c:v>
                </c:pt>
                <c:pt idx="7">
                  <c:v>1995</c:v>
                </c:pt>
                <c:pt idx="8">
                  <c:v>2000</c:v>
                </c:pt>
                <c:pt idx="9">
                  <c:v>2005</c:v>
                </c:pt>
                <c:pt idx="10">
                  <c:v>2008</c:v>
                </c:pt>
                <c:pt idx="11">
                  <c:v>2011</c:v>
                </c:pt>
              </c:numCache>
            </c:numRef>
          </c:cat>
          <c:val>
            <c:numRef>
              <c:f>Sheet1!$C$2:$C$13</c:f>
              <c:numCache>
                <c:formatCode>General</c:formatCode>
                <c:ptCount val="12"/>
                <c:pt idx="0">
                  <c:v>5.6</c:v>
                </c:pt>
                <c:pt idx="1">
                  <c:v>16.5</c:v>
                </c:pt>
                <c:pt idx="2">
                  <c:v>10.200000000000001</c:v>
                </c:pt>
                <c:pt idx="3">
                  <c:v>8.6</c:v>
                </c:pt>
                <c:pt idx="4">
                  <c:v>6.6</c:v>
                </c:pt>
                <c:pt idx="5">
                  <c:v>7.3</c:v>
                </c:pt>
                <c:pt idx="6">
                  <c:v>7.6</c:v>
                </c:pt>
                <c:pt idx="7">
                  <c:v>2.2999999999999998</c:v>
                </c:pt>
                <c:pt idx="8">
                  <c:v>0.9</c:v>
                </c:pt>
                <c:pt idx="9">
                  <c:v>3.5999999999999997E-2</c:v>
                </c:pt>
                <c:pt idx="10">
                  <c:v>0.30000000000000032</c:v>
                </c:pt>
                <c:pt idx="11">
                  <c:v>0.1</c:v>
                </c:pt>
              </c:numCache>
            </c:numRef>
          </c:val>
          <c:smooth val="0"/>
        </c:ser>
        <c:ser>
          <c:idx val="0"/>
          <c:order val="1"/>
          <c:tx>
            <c:strRef>
              <c:f>Sheet1!$D$1</c:f>
              <c:strCache>
                <c:ptCount val="1"/>
                <c:pt idx="0">
                  <c:v>дошкольные учреждения</c:v>
                </c:pt>
              </c:strCache>
            </c:strRef>
          </c:tx>
          <c:spPr>
            <a:ln w="34925">
              <a:solidFill>
                <a:srgbClr val="000000"/>
              </a:solidFill>
              <a:prstDash val="solid"/>
            </a:ln>
          </c:spPr>
          <c:marker>
            <c:symbol val="diamond"/>
            <c:size val="10"/>
            <c:spPr>
              <a:solidFill>
                <a:srgbClr val="800000"/>
              </a:solidFill>
              <a:ln>
                <a:solidFill>
                  <a:srgbClr val="800000"/>
                </a:solidFill>
                <a:prstDash val="solid"/>
              </a:ln>
              <a:scene3d>
                <a:camera prst="orthographicFront"/>
                <a:lightRig rig="threePt" dir="t"/>
              </a:scene3d>
              <a:sp3d>
                <a:bevelB/>
              </a:sp3d>
            </c:spPr>
          </c:marker>
          <c:dLbls>
            <c:dLbl>
              <c:idx val="2"/>
              <c:layout>
                <c:manualLayout>
                  <c:x val="1.3510056805944182E-3"/>
                  <c:y val="-2.5349464365627798E-2"/>
                </c:manualLayout>
              </c:layout>
              <c:dLblPos val="r"/>
              <c:showLegendKey val="0"/>
              <c:showVal val="1"/>
              <c:showCatName val="0"/>
              <c:showSerName val="0"/>
              <c:showPercent val="0"/>
              <c:showBubbleSize val="0"/>
            </c:dLbl>
            <c:dLbl>
              <c:idx val="4"/>
              <c:layout>
                <c:manualLayout>
                  <c:x val="-4.5329630778402014E-3"/>
                  <c:y val="-2.9808683402511811E-2"/>
                </c:manualLayout>
              </c:layout>
              <c:dLblPos val="r"/>
              <c:showLegendKey val="0"/>
              <c:showVal val="1"/>
              <c:showCatName val="0"/>
              <c:showSerName val="0"/>
              <c:showPercent val="0"/>
              <c:showBubbleSize val="0"/>
            </c:dLbl>
            <c:dLbl>
              <c:idx val="5"/>
              <c:layout>
                <c:manualLayout>
                  <c:x val="-5.8569916562665565E-3"/>
                  <c:y val="-1.9106607030811965E-2"/>
                </c:manualLayout>
              </c:layout>
              <c:dLblPos val="r"/>
              <c:showLegendKey val="0"/>
              <c:showVal val="1"/>
              <c:showCatName val="0"/>
              <c:showSerName val="0"/>
              <c:showPercent val="0"/>
              <c:showBubbleSize val="0"/>
            </c:dLbl>
            <c:dLbl>
              <c:idx val="7"/>
              <c:layout>
                <c:manualLayout>
                  <c:x val="-2.032389727178605E-3"/>
                  <c:y val="-2.5126563696211437E-2"/>
                </c:manualLayout>
              </c:layout>
              <c:dLblPos val="r"/>
              <c:showLegendKey val="0"/>
              <c:showVal val="1"/>
              <c:showCatName val="0"/>
              <c:showSerName val="0"/>
              <c:showPercent val="0"/>
              <c:showBubbleSize val="0"/>
            </c:dLbl>
            <c:dLbl>
              <c:idx val="8"/>
              <c:layout>
                <c:manualLayout>
                  <c:x val="-4.9056483852813002E-3"/>
                  <c:y val="4.6802371242575533E-3"/>
                </c:manualLayout>
              </c:layout>
              <c:dLblPos val="r"/>
              <c:showLegendKey val="0"/>
              <c:showVal val="1"/>
              <c:showCatName val="0"/>
              <c:showSerName val="0"/>
              <c:showPercent val="0"/>
              <c:showBubbleSize val="0"/>
            </c:dLbl>
            <c:dLbl>
              <c:idx val="9"/>
              <c:layout>
                <c:manualLayout>
                  <c:x val="-6.2982355082676173E-3"/>
                  <c:y val="0"/>
                </c:manualLayout>
              </c:layout>
              <c:dLblPos val="r"/>
              <c:showLegendKey val="0"/>
              <c:showVal val="1"/>
              <c:showCatName val="0"/>
              <c:showSerName val="0"/>
              <c:showPercent val="0"/>
              <c:showBubbleSize val="0"/>
            </c:dLbl>
            <c:dLbl>
              <c:idx val="10"/>
              <c:layout>
                <c:manualLayout>
                  <c:x val="-5.9355142439655372E-3"/>
                  <c:y val="2.3997486808654198E-3"/>
                </c:manualLayout>
              </c:layout>
              <c:dLblPos val="r"/>
              <c:showLegendKey val="0"/>
              <c:showVal val="1"/>
              <c:showCatName val="0"/>
              <c:showSerName val="0"/>
              <c:showPercent val="0"/>
              <c:showBubbleSize val="0"/>
            </c:dLbl>
            <c:dLbl>
              <c:idx val="11"/>
              <c:layout>
                <c:manualLayout>
                  <c:x val="-5.5797903615659493E-3"/>
                  <c:y val="-7.5983961598850014E-3"/>
                </c:manualLayout>
              </c:layout>
              <c:dLblPos val="r"/>
              <c:showLegendKey val="0"/>
              <c:showVal val="1"/>
              <c:showCatName val="0"/>
              <c:showSerName val="0"/>
              <c:showPercent val="0"/>
              <c:showBubbleSize val="0"/>
            </c:dLbl>
            <c:spPr>
              <a:solidFill>
                <a:srgbClr val="C0504D">
                  <a:alpha val="50000"/>
                </a:srgbClr>
              </a:solidFill>
              <a:ln w="25399">
                <a:noFill/>
              </a:ln>
            </c:spPr>
            <c:txPr>
              <a:bodyPr/>
              <a:lstStyle/>
              <a:p>
                <a:pPr>
                  <a:defRPr sz="1000" b="1" i="0" u="none" strike="noStrike" baseline="0">
                    <a:solidFill>
                      <a:srgbClr val="000000"/>
                    </a:solidFill>
                    <a:latin typeface="Arial" pitchFamily="34" charset="0"/>
                    <a:ea typeface="Times New Roman"/>
                    <a:cs typeface="Times New Roman"/>
                  </a:defRPr>
                </a:pPr>
                <a:endParaRPr lang="ru-RU"/>
              </a:p>
            </c:txPr>
            <c:showLegendKey val="0"/>
            <c:showVal val="1"/>
            <c:showCatName val="0"/>
            <c:showSerName val="0"/>
            <c:showPercent val="0"/>
            <c:showBubbleSize val="0"/>
            <c:showLeaderLines val="0"/>
          </c:dLbls>
          <c:cat>
            <c:numRef>
              <c:f>Sheet1!$A$2:$A$13</c:f>
              <c:numCache>
                <c:formatCode>General</c:formatCode>
                <c:ptCount val="12"/>
                <c:pt idx="0">
                  <c:v>1960</c:v>
                </c:pt>
                <c:pt idx="1">
                  <c:v>1965</c:v>
                </c:pt>
                <c:pt idx="2">
                  <c:v>1970</c:v>
                </c:pt>
                <c:pt idx="3">
                  <c:v>1975</c:v>
                </c:pt>
                <c:pt idx="4">
                  <c:v>1980</c:v>
                </c:pt>
                <c:pt idx="5">
                  <c:v>1985</c:v>
                </c:pt>
                <c:pt idx="6">
                  <c:v>1990</c:v>
                </c:pt>
                <c:pt idx="7">
                  <c:v>1995</c:v>
                </c:pt>
                <c:pt idx="8">
                  <c:v>2000</c:v>
                </c:pt>
                <c:pt idx="9">
                  <c:v>2005</c:v>
                </c:pt>
                <c:pt idx="10">
                  <c:v>2008</c:v>
                </c:pt>
                <c:pt idx="11">
                  <c:v>2011</c:v>
                </c:pt>
              </c:numCache>
            </c:numRef>
          </c:cat>
          <c:val>
            <c:numRef>
              <c:f>Sheet1!$D$2:$D$13</c:f>
              <c:numCache>
                <c:formatCode>General</c:formatCode>
                <c:ptCount val="12"/>
                <c:pt idx="0">
                  <c:v>1</c:v>
                </c:pt>
                <c:pt idx="1">
                  <c:v>2.1</c:v>
                </c:pt>
                <c:pt idx="2">
                  <c:v>2.2999999999999998</c:v>
                </c:pt>
                <c:pt idx="3">
                  <c:v>1.6</c:v>
                </c:pt>
                <c:pt idx="4">
                  <c:v>4.3</c:v>
                </c:pt>
                <c:pt idx="5">
                  <c:v>3.7</c:v>
                </c:pt>
                <c:pt idx="6">
                  <c:v>3.9</c:v>
                </c:pt>
                <c:pt idx="7">
                  <c:v>0.1</c:v>
                </c:pt>
                <c:pt idx="8">
                  <c:v>0</c:v>
                </c:pt>
                <c:pt idx="9">
                  <c:v>0</c:v>
                </c:pt>
                <c:pt idx="10">
                  <c:v>0</c:v>
                </c:pt>
                <c:pt idx="11">
                  <c:v>0.2</c:v>
                </c:pt>
              </c:numCache>
            </c:numRef>
          </c:val>
          <c:smooth val="0"/>
        </c:ser>
        <c:dLbls>
          <c:showLegendKey val="0"/>
          <c:showVal val="1"/>
          <c:showCatName val="0"/>
          <c:showSerName val="0"/>
          <c:showPercent val="0"/>
          <c:showBubbleSize val="0"/>
        </c:dLbls>
        <c:marker val="1"/>
        <c:smooth val="0"/>
        <c:axId val="337218944"/>
        <c:axId val="337273984"/>
      </c:lineChart>
      <c:catAx>
        <c:axId val="33721894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273984"/>
        <c:crosses val="autoZero"/>
        <c:auto val="1"/>
        <c:lblAlgn val="ctr"/>
        <c:lblOffset val="100"/>
        <c:tickLblSkip val="1"/>
        <c:tickMarkSkip val="1"/>
        <c:noMultiLvlLbl val="0"/>
      </c:catAx>
      <c:valAx>
        <c:axId val="337273984"/>
        <c:scaling>
          <c:orientation val="minMax"/>
          <c:max val="18"/>
        </c:scaling>
        <c:delete val="0"/>
        <c:axPos val="l"/>
        <c:title>
          <c:tx>
            <c:rich>
              <a:bodyPr/>
              <a:lstStyle/>
              <a:p>
                <a:pPr algn="r">
                  <a:defRPr sz="1000" b="0" i="0" u="none" strike="noStrike" baseline="0">
                    <a:solidFill>
                      <a:srgbClr val="000000"/>
                    </a:solidFill>
                    <a:latin typeface="Arial"/>
                    <a:ea typeface="Arial"/>
                    <a:cs typeface="Arial"/>
                  </a:defRPr>
                </a:pPr>
                <a:r>
                  <a:rPr lang="ru-RU"/>
                  <a:t>тыс.мест</a:t>
                </a:r>
              </a:p>
            </c:rich>
          </c:tx>
          <c:layout>
            <c:manualLayout>
              <c:xMode val="edge"/>
              <c:yMode val="edge"/>
              <c:x val="0"/>
              <c:y val="0.29431438127091208"/>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218944"/>
        <c:crosses val="autoZero"/>
        <c:crossBetween val="midCat"/>
        <c:majorUnit val="2"/>
      </c:valAx>
      <c:spPr>
        <a:blipFill dpi="0" rotWithShape="1">
          <a:blip xmlns:r="http://schemas.openxmlformats.org/officeDocument/2006/relationships" r:embed="rId1"/>
          <a:srcRect/>
          <a:stretch>
            <a:fillRect t="-100000" b="-30000"/>
          </a:stretch>
        </a:blipFill>
        <a:ln w="25399">
          <a:noFill/>
        </a:ln>
      </c:spPr>
    </c:plotArea>
    <c:legend>
      <c:legendPos val="b"/>
      <c:layout>
        <c:manualLayout>
          <c:xMode val="edge"/>
          <c:yMode val="edge"/>
          <c:x val="0.25192450351429863"/>
          <c:y val="0.8909188577174969"/>
          <c:w val="0.53980735730572182"/>
          <c:h val="7.3578595317725759E-2"/>
        </c:manualLayout>
      </c:layout>
      <c:overlay val="0"/>
      <c:spPr>
        <a:solidFill>
          <a:srgbClr val="FFFFFF"/>
        </a:solidFill>
        <a:ln w="3175">
          <a:noFill/>
          <a:prstDash val="solid"/>
        </a:ln>
      </c:spPr>
      <c:txPr>
        <a:bodyPr/>
        <a:lstStyle/>
        <a:p>
          <a:pPr>
            <a:defRPr sz="1200" b="0" i="0" u="none" strike="noStrike" baseline="0">
              <a:solidFill>
                <a:srgbClr val="000000"/>
              </a:solidFill>
              <a:latin typeface="Arial"/>
              <a:ea typeface="Arial"/>
              <a:cs typeface="Arial"/>
            </a:defRPr>
          </a:pPr>
          <a:endParaRPr lang="ru-RU"/>
        </a:p>
      </c:txPr>
    </c:legend>
    <c:plotVisOnly val="1"/>
    <c:dispBlanksAs val="gap"/>
    <c:showDLblsOverMax val="0"/>
  </c:chart>
  <c:spPr>
    <a:noFill/>
    <a:ln w="19050" cap="flat" cmpd="dbl" algn="ctr">
      <a:noFill/>
      <a:prstDash val="solid"/>
      <a:miter lim="800000"/>
      <a:headEnd type="none" w="med" len="med"/>
      <a:tailEnd type="none" w="med" len="med"/>
    </a:ln>
  </c:spPr>
  <c:txPr>
    <a:bodyPr/>
    <a:lstStyle/>
    <a:p>
      <a:pPr>
        <a:defRPr sz="975"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5" b="1" i="0" u="none" strike="noStrike" baseline="0">
                <a:solidFill>
                  <a:srgbClr val="000000"/>
                </a:solidFill>
                <a:latin typeface="Times New Roman"/>
                <a:ea typeface="Times New Roman"/>
                <a:cs typeface="Times New Roman"/>
              </a:defRPr>
            </a:pPr>
            <a:r>
              <a:rPr lang="ru-RU"/>
              <a:t>   </a:t>
            </a:r>
          </a:p>
        </c:rich>
      </c:tx>
      <c:layout>
        <c:manualLayout>
          <c:xMode val="edge"/>
          <c:yMode val="edge"/>
          <c:x val="0.49685534591195424"/>
          <c:y val="2.0661157024793854E-2"/>
        </c:manualLayout>
      </c:layout>
      <c:overlay val="0"/>
      <c:spPr>
        <a:noFill/>
        <a:ln w="25398">
          <a:noFill/>
        </a:ln>
      </c:spPr>
    </c:title>
    <c:autoTitleDeleted val="0"/>
    <c:plotArea>
      <c:layout>
        <c:manualLayout>
          <c:layoutTarget val="inner"/>
          <c:xMode val="edge"/>
          <c:yMode val="edge"/>
          <c:x val="8.0300794338325682E-2"/>
          <c:y val="5.4203195530510312E-2"/>
          <c:w val="0.91969920566168106"/>
          <c:h val="0.69513082730023101"/>
        </c:manualLayout>
      </c:layout>
      <c:barChart>
        <c:barDir val="col"/>
        <c:grouping val="clustered"/>
        <c:varyColors val="0"/>
        <c:ser>
          <c:idx val="1"/>
          <c:order val="0"/>
          <c:tx>
            <c:strRef>
              <c:f>Sheet1!$B$1</c:f>
              <c:strCache>
                <c:ptCount val="1"/>
                <c:pt idx="0">
                  <c:v>газовые сети</c:v>
                </c:pt>
              </c:strCache>
            </c:strRef>
          </c:tx>
          <c:spPr>
            <a:solidFill>
              <a:srgbClr val="0000FF"/>
            </a:solidFill>
            <a:ln w="12699">
              <a:solidFill>
                <a:srgbClr val="000000"/>
              </a:solidFill>
              <a:prstDash val="solid"/>
            </a:ln>
            <a:scene3d>
              <a:camera prst="orthographicFront"/>
              <a:lightRig rig="threePt" dir="t"/>
            </a:scene3d>
            <a:sp3d>
              <a:bevelT/>
            </a:sp3d>
          </c:spPr>
          <c:invertIfNegative val="0"/>
          <c:dLbls>
            <c:delete val="1"/>
          </c:dLbls>
          <c:cat>
            <c:numRef>
              <c:f>Sheet1!$A$2:$A$22</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Sheet1!$B$2:$B$22</c:f>
              <c:numCache>
                <c:formatCode>General</c:formatCode>
                <c:ptCount val="21"/>
                <c:pt idx="0">
                  <c:v>215.2</c:v>
                </c:pt>
                <c:pt idx="1">
                  <c:v>91.3</c:v>
                </c:pt>
                <c:pt idx="2">
                  <c:v>122.4</c:v>
                </c:pt>
                <c:pt idx="3">
                  <c:v>245</c:v>
                </c:pt>
                <c:pt idx="4">
                  <c:v>293.2</c:v>
                </c:pt>
                <c:pt idx="5">
                  <c:v>262.7</c:v>
                </c:pt>
                <c:pt idx="6">
                  <c:v>314.60000000000002</c:v>
                </c:pt>
                <c:pt idx="7">
                  <c:v>571.79999999999995</c:v>
                </c:pt>
                <c:pt idx="8">
                  <c:v>491.1</c:v>
                </c:pt>
                <c:pt idx="9">
                  <c:v>349.9</c:v>
                </c:pt>
                <c:pt idx="10">
                  <c:v>261.89999999999969</c:v>
                </c:pt>
                <c:pt idx="11">
                  <c:v>159.6</c:v>
                </c:pt>
                <c:pt idx="12">
                  <c:v>90.22</c:v>
                </c:pt>
                <c:pt idx="13">
                  <c:v>105.02</c:v>
                </c:pt>
                <c:pt idx="14">
                  <c:v>16.3</c:v>
                </c:pt>
                <c:pt idx="15">
                  <c:v>53.9</c:v>
                </c:pt>
                <c:pt idx="16">
                  <c:v>248.1</c:v>
                </c:pt>
                <c:pt idx="17">
                  <c:v>118.8</c:v>
                </c:pt>
                <c:pt idx="18">
                  <c:v>499.4</c:v>
                </c:pt>
                <c:pt idx="19">
                  <c:v>218.4</c:v>
                </c:pt>
                <c:pt idx="20">
                  <c:v>362.3</c:v>
                </c:pt>
              </c:numCache>
            </c:numRef>
          </c:val>
        </c:ser>
        <c:ser>
          <c:idx val="0"/>
          <c:order val="1"/>
          <c:tx>
            <c:strRef>
              <c:f>Sheet1!$C$1</c:f>
              <c:strCache>
                <c:ptCount val="1"/>
                <c:pt idx="0">
                  <c:v>водопроводы</c:v>
                </c:pt>
              </c:strCache>
            </c:strRef>
          </c:tx>
          <c:spPr>
            <a:solidFill>
              <a:srgbClr val="CCFFFF"/>
            </a:solidFill>
            <a:ln w="12699">
              <a:solidFill>
                <a:srgbClr val="000000"/>
              </a:solidFill>
              <a:prstDash val="solid"/>
            </a:ln>
            <a:scene3d>
              <a:camera prst="orthographicFront"/>
              <a:lightRig rig="threePt" dir="t"/>
            </a:scene3d>
            <a:sp3d>
              <a:bevelT/>
            </a:sp3d>
          </c:spPr>
          <c:invertIfNegative val="0"/>
          <c:dLbls>
            <c:delete val="1"/>
          </c:dLbls>
          <c:cat>
            <c:numRef>
              <c:f>Sheet1!$A$2:$A$22</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Sheet1!$C$2:$C$22</c:f>
              <c:numCache>
                <c:formatCode>General</c:formatCode>
                <c:ptCount val="21"/>
                <c:pt idx="0">
                  <c:v>159</c:v>
                </c:pt>
                <c:pt idx="1">
                  <c:v>131.30000000000001</c:v>
                </c:pt>
                <c:pt idx="2">
                  <c:v>155.6</c:v>
                </c:pt>
                <c:pt idx="3">
                  <c:v>115.7</c:v>
                </c:pt>
                <c:pt idx="4">
                  <c:v>108.9</c:v>
                </c:pt>
                <c:pt idx="5">
                  <c:v>22.84</c:v>
                </c:pt>
                <c:pt idx="6">
                  <c:v>80.3</c:v>
                </c:pt>
                <c:pt idx="7">
                  <c:v>103.8</c:v>
                </c:pt>
                <c:pt idx="8">
                  <c:v>55.58</c:v>
                </c:pt>
                <c:pt idx="9">
                  <c:v>46.8</c:v>
                </c:pt>
                <c:pt idx="10">
                  <c:v>23.75</c:v>
                </c:pt>
                <c:pt idx="11">
                  <c:v>6.5</c:v>
                </c:pt>
                <c:pt idx="12">
                  <c:v>2.8899999999999997</c:v>
                </c:pt>
                <c:pt idx="13">
                  <c:v>10.42</c:v>
                </c:pt>
                <c:pt idx="14">
                  <c:v>6.5</c:v>
                </c:pt>
                <c:pt idx="15">
                  <c:v>23.7</c:v>
                </c:pt>
                <c:pt idx="16">
                  <c:v>25.6</c:v>
                </c:pt>
                <c:pt idx="17">
                  <c:v>62.3</c:v>
                </c:pt>
                <c:pt idx="18">
                  <c:v>15.2</c:v>
                </c:pt>
                <c:pt idx="19">
                  <c:v>66.5</c:v>
                </c:pt>
                <c:pt idx="20">
                  <c:v>37.4</c:v>
                </c:pt>
              </c:numCache>
            </c:numRef>
          </c:val>
        </c:ser>
        <c:dLbls>
          <c:showLegendKey val="0"/>
          <c:showVal val="1"/>
          <c:showCatName val="0"/>
          <c:showSerName val="0"/>
          <c:showPercent val="0"/>
          <c:showBubbleSize val="0"/>
        </c:dLbls>
        <c:gapWidth val="78"/>
        <c:overlap val="55"/>
        <c:axId val="337310080"/>
        <c:axId val="337311616"/>
      </c:barChart>
      <c:catAx>
        <c:axId val="337310080"/>
        <c:scaling>
          <c:orientation val="minMax"/>
        </c:scaling>
        <c:delete val="0"/>
        <c:axPos val="b"/>
        <c:numFmt formatCode="General" sourceLinked="1"/>
        <c:majorTickMark val="out"/>
        <c:minorTickMark val="none"/>
        <c:tickLblPos val="nextTo"/>
        <c:spPr>
          <a:ln w="3175">
            <a:solidFill>
              <a:srgbClr val="000000"/>
            </a:solidFill>
            <a:prstDash val="solid"/>
          </a:ln>
        </c:spPr>
        <c:txPr>
          <a:bodyPr rot="-5400000" vert="horz"/>
          <a:lstStyle/>
          <a:p>
            <a:pPr>
              <a:defRPr sz="1100" b="0" i="0" u="none" strike="noStrike" baseline="0">
                <a:solidFill>
                  <a:srgbClr val="000000"/>
                </a:solidFill>
                <a:latin typeface="Arial"/>
                <a:ea typeface="Arial"/>
                <a:cs typeface="Arial"/>
              </a:defRPr>
            </a:pPr>
            <a:endParaRPr lang="ru-RU"/>
          </a:p>
        </c:txPr>
        <c:crossAx val="337311616"/>
        <c:crosses val="autoZero"/>
        <c:auto val="1"/>
        <c:lblAlgn val="ctr"/>
        <c:lblOffset val="100"/>
        <c:tickLblSkip val="1"/>
        <c:tickMarkSkip val="1"/>
        <c:noMultiLvlLbl val="0"/>
      </c:catAx>
      <c:valAx>
        <c:axId val="337311616"/>
        <c:scaling>
          <c:orientation val="minMax"/>
          <c:max val="600"/>
          <c:min val="0"/>
        </c:scaling>
        <c:delete val="0"/>
        <c:axPos val="l"/>
        <c:majorGridlines>
          <c:spPr>
            <a:ln w="12699">
              <a:solidFill>
                <a:srgbClr val="C0C0C0"/>
              </a:solidFill>
              <a:prstDash val="solid"/>
            </a:ln>
          </c:spPr>
        </c:majorGridlines>
        <c:title>
          <c:tx>
            <c:rich>
              <a:bodyPr rot="-5400000" vert="horz"/>
              <a:lstStyle/>
              <a:p>
                <a:pPr algn="l">
                  <a:defRPr sz="1100" b="1" i="0" u="none" strike="noStrike" baseline="0">
                    <a:solidFill>
                      <a:srgbClr val="000000"/>
                    </a:solidFill>
                    <a:latin typeface="Arial"/>
                    <a:ea typeface="Arial"/>
                    <a:cs typeface="Arial"/>
                  </a:defRPr>
                </a:pPr>
                <a:r>
                  <a:rPr lang="ru-RU" sz="1100" b="1" i="0" baseline="0"/>
                  <a:t>киллометров</a:t>
                </a:r>
              </a:p>
            </c:rich>
          </c:tx>
          <c:layout>
            <c:manualLayout>
              <c:xMode val="edge"/>
              <c:yMode val="edge"/>
              <c:x val="8.7153707508806078E-3"/>
              <c:y val="0.29060406739031974"/>
            </c:manualLayout>
          </c:layout>
          <c:overlay val="0"/>
          <c:spPr>
            <a:noFill/>
            <a:ln w="25398">
              <a:noFill/>
            </a:ln>
          </c:spPr>
        </c:title>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310080"/>
        <c:crosses val="autoZero"/>
        <c:crossBetween val="between"/>
        <c:majorUnit val="100"/>
      </c:valAx>
      <c:spPr>
        <a:blipFill dpi="0" rotWithShape="1">
          <a:blip xmlns:r="http://schemas.openxmlformats.org/officeDocument/2006/relationships" r:embed="rId1"/>
          <a:srcRect/>
          <a:stretch>
            <a:fillRect l="14000" r="13000"/>
          </a:stretch>
        </a:blipFill>
        <a:ln w="25398">
          <a:noFill/>
        </a:ln>
        <a:scene3d>
          <a:camera prst="orthographicFront"/>
          <a:lightRig rig="threePt" dir="t"/>
        </a:scene3d>
        <a:sp3d>
          <a:bevelT/>
          <a:bevelB/>
        </a:sp3d>
      </c:spPr>
    </c:plotArea>
    <c:legend>
      <c:legendPos val="b"/>
      <c:layout>
        <c:manualLayout>
          <c:xMode val="edge"/>
          <c:yMode val="edge"/>
          <c:x val="0.28712274299092388"/>
          <c:y val="0.91003315387069017"/>
          <c:w val="0.48188631636788687"/>
          <c:h val="5.2699672327633923E-2"/>
        </c:manualLayout>
      </c:layout>
      <c:overlay val="0"/>
      <c:spPr>
        <a:solidFill>
          <a:srgbClr val="FFFFFF"/>
        </a:solidFill>
        <a:ln w="3175">
          <a:noFill/>
          <a:prstDash val="solid"/>
        </a:ln>
      </c:spPr>
      <c:txPr>
        <a:bodyPr/>
        <a:lstStyle/>
        <a:p>
          <a:pPr>
            <a:defRPr sz="1200" b="0" i="0" u="none" strike="noStrike" baseline="0">
              <a:solidFill>
                <a:srgbClr val="000000"/>
              </a:solidFill>
              <a:latin typeface="Arial"/>
              <a:ea typeface="Arial"/>
              <a:cs typeface="Arial"/>
            </a:defRPr>
          </a:pPr>
          <a:endParaRPr lang="ru-RU"/>
        </a:p>
      </c:txPr>
    </c:legend>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defRPr sz="975"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20"/>
      <c:rAngAx val="1"/>
    </c:view3D>
    <c:floor>
      <c:thickness val="0"/>
      <c:spPr>
        <a:noFill/>
        <a:ln w="9525">
          <a:noFill/>
        </a:ln>
      </c:spPr>
    </c:floor>
    <c:sideWall>
      <c:thickness val="0"/>
      <c:spPr>
        <a:blipFill dpi="0" rotWithShape="1">
          <a:blip xmlns:r="http://schemas.openxmlformats.org/officeDocument/2006/relationships" r:embed="rId1"/>
          <a:srcRect/>
          <a:stretch>
            <a:fillRect t="-18000" b="-18000"/>
          </a:stretch>
        </a:blipFill>
        <a:ln w="25400">
          <a:noFill/>
        </a:ln>
      </c:spPr>
    </c:sideWall>
    <c:backWall>
      <c:thickness val="0"/>
      <c:spPr>
        <a:blipFill dpi="0" rotWithShape="1">
          <a:blip xmlns:r="http://schemas.openxmlformats.org/officeDocument/2006/relationships" r:embed="rId1"/>
          <a:srcRect/>
          <a:stretch>
            <a:fillRect t="-18000" b="-18000"/>
          </a:stretch>
        </a:blipFill>
        <a:ln w="25400">
          <a:noFill/>
        </a:ln>
      </c:spPr>
    </c:backWall>
    <c:plotArea>
      <c:layout>
        <c:manualLayout>
          <c:layoutTarget val="inner"/>
          <c:xMode val="edge"/>
          <c:yMode val="edge"/>
          <c:x val="7.3529411764705899E-2"/>
          <c:y val="2.7355623100304042E-2"/>
          <c:w val="0.88562091503268114"/>
          <c:h val="0.87234042553191493"/>
        </c:manualLayout>
      </c:layout>
      <c:bar3DChart>
        <c:barDir val="bar"/>
        <c:grouping val="clustered"/>
        <c:varyColors val="0"/>
        <c:ser>
          <c:idx val="0"/>
          <c:order val="0"/>
          <c:tx>
            <c:strRef>
              <c:f>Sheet1!$A$2</c:f>
              <c:strCache>
                <c:ptCount val="1"/>
              </c:strCache>
            </c:strRef>
          </c:tx>
          <c:spPr>
            <a:solidFill>
              <a:srgbClr val="FF9900"/>
            </a:solidFill>
            <a:ln w="12699">
              <a:solidFill>
                <a:srgbClr val="000000"/>
              </a:solidFill>
              <a:prstDash val="solid"/>
            </a:ln>
            <a:scene3d>
              <a:camera prst="orthographicFront"/>
              <a:lightRig rig="threePt" dir="t"/>
            </a:scene3d>
            <a:sp3d>
              <a:bevelT w="139700" h="139700" prst="divot"/>
              <a:bevelB w="139700" h="139700" prst="divot"/>
              <a:contourClr>
                <a:srgbClr val="000000"/>
              </a:contourClr>
            </a:sp3d>
          </c:spPr>
          <c:invertIfNegative val="0"/>
          <c:dLbls>
            <c:dLbl>
              <c:idx val="0"/>
              <c:layout>
                <c:manualLayout>
                  <c:x val="5.3172615273929073E-3"/>
                  <c:y val="1.1043536208604689E-2"/>
                </c:manualLayout>
              </c:layout>
              <c:showLegendKey val="0"/>
              <c:showVal val="1"/>
              <c:showCatName val="0"/>
              <c:showSerName val="0"/>
              <c:showPercent val="0"/>
              <c:showBubbleSize val="0"/>
            </c:dLbl>
            <c:dLbl>
              <c:idx val="1"/>
              <c:layout>
                <c:manualLayout>
                  <c:x val="7.2673952686578731E-3"/>
                  <c:y val="9.5381057068376733E-3"/>
                </c:manualLayout>
              </c:layout>
              <c:showLegendKey val="0"/>
              <c:showVal val="1"/>
              <c:showCatName val="0"/>
              <c:showSerName val="0"/>
              <c:showPercent val="0"/>
              <c:showBubbleSize val="0"/>
            </c:dLbl>
            <c:dLbl>
              <c:idx val="2"/>
              <c:layout>
                <c:manualLayout>
                  <c:x val="6.5683033202027117E-3"/>
                  <c:y val="3.7332572677396315E-3"/>
                </c:manualLayout>
              </c:layout>
              <c:showLegendKey val="0"/>
              <c:showVal val="1"/>
              <c:showCatName val="0"/>
              <c:showSerName val="0"/>
              <c:showPercent val="0"/>
              <c:showBubbleSize val="0"/>
            </c:dLbl>
            <c:dLbl>
              <c:idx val="3"/>
              <c:layout>
                <c:manualLayout>
                  <c:x val="7.6585127828869004E-3"/>
                  <c:y val="2.7466526910575836E-3"/>
                </c:manualLayout>
              </c:layout>
              <c:showLegendKey val="0"/>
              <c:showVal val="1"/>
              <c:showCatName val="0"/>
              <c:showSerName val="0"/>
              <c:showPercent val="0"/>
              <c:showBubbleSize val="0"/>
            </c:dLbl>
            <c:dLbl>
              <c:idx val="4"/>
              <c:layout>
                <c:manualLayout>
                  <c:x val="1.3821229244282144E-2"/>
                  <c:y val="-9.1377713317274591E-3"/>
                </c:manualLayout>
              </c:layout>
              <c:showLegendKey val="0"/>
              <c:showVal val="1"/>
              <c:showCatName val="0"/>
              <c:showSerName val="0"/>
              <c:showPercent val="0"/>
              <c:showBubbleSize val="0"/>
            </c:dLbl>
            <c:dLbl>
              <c:idx val="5"/>
              <c:layout>
                <c:manualLayout>
                  <c:x val="1.2422031515229861E-3"/>
                  <c:y val="-8.8636409267132781E-3"/>
                </c:manualLayout>
              </c:layout>
              <c:showLegendKey val="0"/>
              <c:showVal val="1"/>
              <c:showCatName val="0"/>
              <c:showSerName val="0"/>
              <c:showPercent val="0"/>
              <c:showBubbleSize val="0"/>
            </c:dLbl>
            <c:dLbl>
              <c:idx val="6"/>
              <c:layout>
                <c:manualLayout>
                  <c:x val="1.3499119373428421E-2"/>
                  <c:y val="-2.88185062144642E-3"/>
                </c:manualLayout>
              </c:layout>
              <c:showLegendKey val="0"/>
              <c:showVal val="1"/>
              <c:showCatName val="0"/>
              <c:showSerName val="0"/>
              <c:showPercent val="0"/>
              <c:showBubbleSize val="0"/>
            </c:dLbl>
            <c:dLbl>
              <c:idx val="7"/>
              <c:layout>
                <c:manualLayout>
                  <c:x val="5.235342776547078E-3"/>
                  <c:y val="-1.0836872095332942E-2"/>
                </c:manualLayout>
              </c:layout>
              <c:showLegendKey val="0"/>
              <c:showVal val="1"/>
              <c:showCatName val="0"/>
              <c:showSerName val="0"/>
              <c:showPercent val="0"/>
              <c:showBubbleSize val="0"/>
            </c:dLbl>
            <c:dLbl>
              <c:idx val="8"/>
              <c:layout>
                <c:manualLayout>
                  <c:x val="1.3629788685239822E-2"/>
                  <c:y val="-5.7442104657429924E-3"/>
                </c:manualLayout>
              </c:layout>
              <c:showLegendKey val="0"/>
              <c:showVal val="1"/>
              <c:showCatName val="0"/>
              <c:showSerName val="0"/>
              <c:showPercent val="0"/>
              <c:showBubbleSize val="0"/>
            </c:dLbl>
            <c:numFmt formatCode="0.0" sourceLinked="0"/>
            <c:spPr>
              <a:solidFill>
                <a:sysClr val="window" lastClr="FFFFFF">
                  <a:alpha val="50000"/>
                </a:sysClr>
              </a:solidFill>
              <a:ln w="25397">
                <a:noFill/>
              </a:ln>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Sheet1!$B$1:$J$1</c:f>
              <c:numCache>
                <c:formatCode>General</c:formatCode>
                <c:ptCount val="9"/>
                <c:pt idx="0">
                  <c:v>1945</c:v>
                </c:pt>
                <c:pt idx="1">
                  <c:v>1950</c:v>
                </c:pt>
                <c:pt idx="2">
                  <c:v>1960</c:v>
                </c:pt>
                <c:pt idx="3">
                  <c:v>1970</c:v>
                </c:pt>
                <c:pt idx="4">
                  <c:v>1980</c:v>
                </c:pt>
                <c:pt idx="5">
                  <c:v>1990</c:v>
                </c:pt>
                <c:pt idx="6">
                  <c:v>2000</c:v>
                </c:pt>
                <c:pt idx="7">
                  <c:v>2005</c:v>
                </c:pt>
                <c:pt idx="8">
                  <c:v>2011</c:v>
                </c:pt>
              </c:numCache>
            </c:numRef>
          </c:cat>
          <c:val>
            <c:numRef>
              <c:f>Sheet1!$B$2:$J$2</c:f>
              <c:numCache>
                <c:formatCode>General</c:formatCode>
                <c:ptCount val="9"/>
                <c:pt idx="0">
                  <c:v>2.1</c:v>
                </c:pt>
                <c:pt idx="1">
                  <c:v>5.7</c:v>
                </c:pt>
                <c:pt idx="2">
                  <c:v>13.9</c:v>
                </c:pt>
                <c:pt idx="3">
                  <c:v>31.2</c:v>
                </c:pt>
                <c:pt idx="4">
                  <c:v>74</c:v>
                </c:pt>
                <c:pt idx="5">
                  <c:v>125.5</c:v>
                </c:pt>
                <c:pt idx="6">
                  <c:v>220.9</c:v>
                </c:pt>
                <c:pt idx="7">
                  <c:v>233.5</c:v>
                </c:pt>
                <c:pt idx="8">
                  <c:v>324.2</c:v>
                </c:pt>
              </c:numCache>
            </c:numRef>
          </c:val>
        </c:ser>
        <c:dLbls>
          <c:showLegendKey val="0"/>
          <c:showVal val="0"/>
          <c:showCatName val="0"/>
          <c:showSerName val="0"/>
          <c:showPercent val="0"/>
          <c:showBubbleSize val="0"/>
        </c:dLbls>
        <c:gapWidth val="40"/>
        <c:gapDepth val="0"/>
        <c:shape val="cylinder"/>
        <c:axId val="337397248"/>
        <c:axId val="337398784"/>
        <c:axId val="0"/>
      </c:bar3DChart>
      <c:catAx>
        <c:axId val="337397248"/>
        <c:scaling>
          <c:orientation val="minMax"/>
        </c:scaling>
        <c:delete val="0"/>
        <c:axPos val="l"/>
        <c:numFmt formatCode="General" sourceLinked="1"/>
        <c:majorTickMark val="out"/>
        <c:minorTickMark val="none"/>
        <c:tickLblPos val="low"/>
        <c:spPr>
          <a:ln w="9524">
            <a:noFill/>
          </a:ln>
        </c:spPr>
        <c:txPr>
          <a:bodyPr rot="0" vert="horz"/>
          <a:lstStyle/>
          <a:p>
            <a:pPr>
              <a:defRPr sz="1100" b="0" i="0" u="none" strike="noStrike" baseline="0">
                <a:solidFill>
                  <a:srgbClr val="000000"/>
                </a:solidFill>
                <a:latin typeface="Arial"/>
                <a:ea typeface="Arial"/>
                <a:cs typeface="Arial"/>
              </a:defRPr>
            </a:pPr>
            <a:endParaRPr lang="ru-RU"/>
          </a:p>
        </c:txPr>
        <c:crossAx val="337398784"/>
        <c:crosses val="autoZero"/>
        <c:auto val="1"/>
        <c:lblAlgn val="ctr"/>
        <c:lblOffset val="100"/>
        <c:tickLblSkip val="1"/>
        <c:tickMarkSkip val="1"/>
        <c:noMultiLvlLbl val="0"/>
      </c:catAx>
      <c:valAx>
        <c:axId val="33739878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397248"/>
        <c:crosses val="autoZero"/>
        <c:crossBetween val="between"/>
      </c:valAx>
      <c:spPr>
        <a:solidFill>
          <a:srgbClr val="FFFFFF"/>
        </a:solidFill>
        <a:ln w="25397">
          <a:noFill/>
        </a:ln>
      </c:spPr>
    </c:plotArea>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defRPr sz="900" b="0" i="0" u="none" strike="noStrike" baseline="0">
          <a:solidFill>
            <a:srgbClr val="000000"/>
          </a:solidFill>
          <a:latin typeface="Arial"/>
          <a:ea typeface="Arial"/>
          <a:cs typeface="Arial"/>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50"/>
      <c:depthPercent val="50"/>
      <c:rAngAx val="1"/>
    </c:view3D>
    <c:floor>
      <c:thickness val="0"/>
      <c:spPr>
        <a:gradFill>
          <a:gsLst>
            <a:gs pos="83000">
              <a:srgbClr val="8488C4">
                <a:alpha val="50000"/>
              </a:srgbClr>
            </a:gs>
            <a:gs pos="53000">
              <a:srgbClr val="D4DEFF"/>
            </a:gs>
            <a:gs pos="83000">
              <a:srgbClr val="D4DEFF"/>
            </a:gs>
            <a:gs pos="100000">
              <a:srgbClr val="96AB94"/>
            </a:gs>
          </a:gsLst>
          <a:lin ang="5400000" scaled="0"/>
        </a:gradFill>
        <a:ln w="9525">
          <a:noFill/>
        </a:ln>
      </c:spPr>
    </c:floor>
    <c:sideWall>
      <c:thickness val="0"/>
      <c:spPr>
        <a:gradFill>
          <a:gsLst>
            <a:gs pos="83000">
              <a:srgbClr val="8488C4">
                <a:alpha val="50000"/>
              </a:srgbClr>
            </a:gs>
            <a:gs pos="53000">
              <a:srgbClr val="D4DEFF"/>
            </a:gs>
            <a:gs pos="83000">
              <a:srgbClr val="D4DEFF"/>
            </a:gs>
            <a:gs pos="100000">
              <a:srgbClr val="96AB94"/>
            </a:gs>
          </a:gsLst>
          <a:lin ang="5400000" scaled="0"/>
        </a:gradFill>
        <a:ln w="25400">
          <a:noFill/>
        </a:ln>
      </c:spPr>
    </c:sideWall>
    <c:backWall>
      <c:thickness val="0"/>
      <c:spPr>
        <a:gradFill>
          <a:gsLst>
            <a:gs pos="83000">
              <a:srgbClr val="8488C4">
                <a:alpha val="50000"/>
              </a:srgbClr>
            </a:gs>
            <a:gs pos="53000">
              <a:srgbClr val="D4DEFF"/>
            </a:gs>
            <a:gs pos="83000">
              <a:srgbClr val="D4DEFF"/>
            </a:gs>
            <a:gs pos="100000">
              <a:srgbClr val="96AB94"/>
            </a:gs>
          </a:gsLst>
          <a:lin ang="5400000" scaled="0"/>
        </a:gradFill>
        <a:ln w="25400">
          <a:noFill/>
        </a:ln>
      </c:spPr>
    </c:backWall>
    <c:plotArea>
      <c:layout>
        <c:manualLayout>
          <c:layoutTarget val="inner"/>
          <c:xMode val="edge"/>
          <c:yMode val="edge"/>
          <c:x val="4.2654028436018961E-2"/>
          <c:y val="4.6874999999999986E-2"/>
          <c:w val="0.95734597156399215"/>
          <c:h val="0.78436776285317278"/>
        </c:manualLayout>
      </c:layout>
      <c:bar3DChart>
        <c:barDir val="col"/>
        <c:grouping val="clustered"/>
        <c:varyColors val="0"/>
        <c:ser>
          <c:idx val="0"/>
          <c:order val="0"/>
          <c:tx>
            <c:strRef>
              <c:f>Sheet1!$A$2</c:f>
              <c:strCache>
                <c:ptCount val="1"/>
              </c:strCache>
            </c:strRef>
          </c:tx>
          <c:spPr>
            <a:blipFill dpi="0" rotWithShape="1">
              <a:blip xmlns:r="http://schemas.openxmlformats.org/officeDocument/2006/relationships" r:embed="rId1"/>
              <a:srcRect/>
              <a:stretch>
                <a:fillRect l="-50000" t="-4000" r="-50000" b="-4000"/>
              </a:stretch>
            </a:blipFill>
            <a:ln w="12701">
              <a:solidFill>
                <a:srgbClr val="000000"/>
              </a:solidFill>
              <a:prstDash val="solid"/>
            </a:ln>
          </c:spPr>
          <c:invertIfNegative val="0"/>
          <c:dPt>
            <c:idx val="3"/>
            <c:invertIfNegative val="0"/>
            <c:bubble3D val="0"/>
            <c:spPr>
              <a:blipFill dpi="0" rotWithShape="1">
                <a:blip xmlns:r="http://schemas.openxmlformats.org/officeDocument/2006/relationships" r:embed="rId1"/>
                <a:srcRect/>
                <a:stretch>
                  <a:fillRect l="-50000" r="-50000" b="-4000"/>
                </a:stretch>
              </a:blipFill>
              <a:ln w="12701">
                <a:solidFill>
                  <a:srgbClr val="000000"/>
                </a:solidFill>
                <a:prstDash val="solid"/>
              </a:ln>
            </c:spPr>
          </c:dPt>
          <c:dPt>
            <c:idx val="4"/>
            <c:invertIfNegative val="0"/>
            <c:bubble3D val="0"/>
            <c:spPr>
              <a:blipFill dpi="0" rotWithShape="1">
                <a:blip xmlns:r="http://schemas.openxmlformats.org/officeDocument/2006/relationships" r:embed="rId1"/>
                <a:srcRect/>
                <a:stretch>
                  <a:fillRect l="-70000" t="-20000" r="-70000" b="-20000"/>
                </a:stretch>
              </a:blipFill>
              <a:ln w="12701">
                <a:solidFill>
                  <a:srgbClr val="000000"/>
                </a:solidFill>
                <a:prstDash val="solid"/>
              </a:ln>
            </c:spPr>
          </c:dPt>
          <c:dPt>
            <c:idx val="5"/>
            <c:invertIfNegative val="0"/>
            <c:bubble3D val="0"/>
            <c:spPr>
              <a:blipFill dpi="0" rotWithShape="1">
                <a:blip xmlns:r="http://schemas.openxmlformats.org/officeDocument/2006/relationships" r:embed="rId1"/>
                <a:srcRect/>
                <a:stretch>
                  <a:fillRect l="-80000" t="-15000" r="-80000" b="-14000"/>
                </a:stretch>
              </a:blipFill>
              <a:ln w="12701">
                <a:solidFill>
                  <a:srgbClr val="000000"/>
                </a:solidFill>
                <a:prstDash val="solid"/>
              </a:ln>
            </c:spPr>
          </c:dPt>
          <c:dPt>
            <c:idx val="6"/>
            <c:invertIfNegative val="0"/>
            <c:bubble3D val="0"/>
            <c:spPr>
              <a:blipFill dpi="0" rotWithShape="1">
                <a:blip xmlns:r="http://schemas.openxmlformats.org/officeDocument/2006/relationships" r:embed="rId1"/>
                <a:srcRect/>
                <a:stretch>
                  <a:fillRect l="-80000" t="-10000" r="-80000" b="-10000"/>
                </a:stretch>
              </a:blipFill>
              <a:ln w="12701">
                <a:solidFill>
                  <a:srgbClr val="000000"/>
                </a:solidFill>
                <a:prstDash val="solid"/>
              </a:ln>
            </c:spPr>
          </c:dPt>
          <c:dPt>
            <c:idx val="7"/>
            <c:invertIfNegative val="0"/>
            <c:bubble3D val="0"/>
            <c:spPr>
              <a:blipFill dpi="0" rotWithShape="1">
                <a:blip xmlns:r="http://schemas.openxmlformats.org/officeDocument/2006/relationships" r:embed="rId1"/>
                <a:srcRect/>
                <a:stretch>
                  <a:fillRect l="-80000" t="-10000" r="-80000" b="-10000"/>
                </a:stretch>
              </a:blipFill>
              <a:ln w="12701">
                <a:solidFill>
                  <a:srgbClr val="000000"/>
                </a:solidFill>
                <a:prstDash val="solid"/>
              </a:ln>
            </c:spPr>
          </c:dPt>
          <c:dLbls>
            <c:dLbl>
              <c:idx val="0"/>
              <c:layout>
                <c:manualLayout>
                  <c:x val="6.5432519264518934E-3"/>
                  <c:y val="-7.1342377079257946E-2"/>
                </c:manualLayout>
              </c:layout>
              <c:showLegendKey val="0"/>
              <c:showVal val="1"/>
              <c:showCatName val="0"/>
              <c:showSerName val="0"/>
              <c:showPercent val="0"/>
              <c:showBubbleSize val="0"/>
            </c:dLbl>
            <c:dLbl>
              <c:idx val="1"/>
              <c:layout>
                <c:manualLayout>
                  <c:x val="7.3374353641274485E-3"/>
                  <c:y val="-7.7751232801633166E-2"/>
                </c:manualLayout>
              </c:layout>
              <c:showLegendKey val="0"/>
              <c:showVal val="1"/>
              <c:showCatName val="0"/>
              <c:showSerName val="0"/>
              <c:showPercent val="0"/>
              <c:showBubbleSize val="0"/>
            </c:dLbl>
            <c:dLbl>
              <c:idx val="2"/>
              <c:layout>
                <c:manualLayout>
                  <c:x val="8.2651956862168658E-3"/>
                  <c:y val="-9.2858859329561505E-2"/>
                </c:manualLayout>
              </c:layout>
              <c:showLegendKey val="0"/>
              <c:showVal val="1"/>
              <c:showCatName val="0"/>
              <c:showSerName val="0"/>
              <c:showPercent val="0"/>
              <c:showBubbleSize val="0"/>
            </c:dLbl>
            <c:dLbl>
              <c:idx val="3"/>
              <c:layout>
                <c:manualLayout>
                  <c:x val="7.7950453612767824E-3"/>
                  <c:y val="-9.8317908931758749E-2"/>
                </c:manualLayout>
              </c:layout>
              <c:showLegendKey val="0"/>
              <c:showVal val="1"/>
              <c:showCatName val="0"/>
              <c:showSerName val="0"/>
              <c:showPercent val="0"/>
              <c:showBubbleSize val="0"/>
            </c:dLbl>
            <c:dLbl>
              <c:idx val="4"/>
              <c:layout>
                <c:manualLayout>
                  <c:x val="7.0093714317450029E-3"/>
                  <c:y val="-8.6574568344261763E-2"/>
                </c:manualLayout>
              </c:layout>
              <c:showLegendKey val="0"/>
              <c:showVal val="1"/>
              <c:showCatName val="0"/>
              <c:showSerName val="0"/>
              <c:showPercent val="0"/>
              <c:showBubbleSize val="0"/>
            </c:dLbl>
            <c:dLbl>
              <c:idx val="5"/>
              <c:layout>
                <c:manualLayout>
                  <c:x val="2.8822599820449392E-3"/>
                  <c:y val="-9.2755055382002988E-2"/>
                </c:manualLayout>
              </c:layout>
              <c:showLegendKey val="0"/>
              <c:showVal val="1"/>
              <c:showCatName val="0"/>
              <c:showSerName val="0"/>
              <c:showPercent val="0"/>
              <c:showBubbleSize val="0"/>
            </c:dLbl>
            <c:dLbl>
              <c:idx val="6"/>
              <c:layout>
                <c:manualLayout>
                  <c:x val="6.8358222524981934E-3"/>
                  <c:y val="-8.9586958902461267E-2"/>
                </c:manualLayout>
              </c:layout>
              <c:showLegendKey val="0"/>
              <c:showVal val="1"/>
              <c:showCatName val="0"/>
              <c:showSerName val="0"/>
              <c:showPercent val="0"/>
              <c:showBubbleSize val="0"/>
            </c:dLbl>
            <c:dLbl>
              <c:idx val="7"/>
              <c:layout>
                <c:manualLayout>
                  <c:x val="1.0654739754804042E-2"/>
                  <c:y val="-7.3176645825032062E-5"/>
                </c:manualLayout>
              </c:layout>
              <c:numFmt formatCode="0.0" sourceLinked="0"/>
              <c:spPr>
                <a:noFill/>
                <a:ln w="25402">
                  <a:noFill/>
                </a:ln>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dLbl>
            <c:spPr>
              <a:noFill/>
              <a:ln w="25402">
                <a:noFill/>
              </a:ln>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Sheet1!$B$1:$I$1</c:f>
              <c:numCache>
                <c:formatCode>General</c:formatCode>
                <c:ptCount val="8"/>
                <c:pt idx="0">
                  <c:v>1945</c:v>
                </c:pt>
                <c:pt idx="1">
                  <c:v>1950</c:v>
                </c:pt>
                <c:pt idx="2">
                  <c:v>1960</c:v>
                </c:pt>
                <c:pt idx="3">
                  <c:v>1970</c:v>
                </c:pt>
                <c:pt idx="4">
                  <c:v>1980</c:v>
                </c:pt>
                <c:pt idx="5">
                  <c:v>1990</c:v>
                </c:pt>
                <c:pt idx="6">
                  <c:v>2000</c:v>
                </c:pt>
                <c:pt idx="7">
                  <c:v>2011</c:v>
                </c:pt>
              </c:numCache>
            </c:numRef>
          </c:cat>
          <c:val>
            <c:numRef>
              <c:f>Sheet1!$B$2:$I$2</c:f>
              <c:numCache>
                <c:formatCode>General</c:formatCode>
                <c:ptCount val="8"/>
                <c:pt idx="0">
                  <c:v>4.2</c:v>
                </c:pt>
                <c:pt idx="1">
                  <c:v>6.4</c:v>
                </c:pt>
                <c:pt idx="2">
                  <c:v>11.2</c:v>
                </c:pt>
                <c:pt idx="3">
                  <c:v>30.5</c:v>
                </c:pt>
                <c:pt idx="4">
                  <c:v>67.7</c:v>
                </c:pt>
                <c:pt idx="5">
                  <c:v>130.6</c:v>
                </c:pt>
                <c:pt idx="6">
                  <c:v>246.5</c:v>
                </c:pt>
                <c:pt idx="7">
                  <c:v>387.5</c:v>
                </c:pt>
              </c:numCache>
            </c:numRef>
          </c:val>
        </c:ser>
        <c:dLbls>
          <c:showLegendKey val="0"/>
          <c:showVal val="1"/>
          <c:showCatName val="0"/>
          <c:showSerName val="0"/>
          <c:showPercent val="0"/>
          <c:showBubbleSize val="0"/>
        </c:dLbls>
        <c:gapWidth val="150"/>
        <c:gapDepth val="0"/>
        <c:shape val="box"/>
        <c:axId val="337581568"/>
        <c:axId val="337583104"/>
        <c:axId val="0"/>
      </c:bar3DChart>
      <c:catAx>
        <c:axId val="337581568"/>
        <c:scaling>
          <c:orientation val="minMax"/>
        </c:scaling>
        <c:delete val="0"/>
        <c:axPos val="b"/>
        <c:numFmt formatCode="General" sourceLinked="1"/>
        <c:majorTickMark val="out"/>
        <c:minorTickMark val="none"/>
        <c:tickLblPos val="low"/>
        <c:spPr>
          <a:ln w="9526">
            <a:solidFill>
              <a:srgbClr val="000000"/>
            </a:solidFill>
          </a:ln>
        </c:spPr>
        <c:txPr>
          <a:bodyPr rot="0" vert="horz"/>
          <a:lstStyle/>
          <a:p>
            <a:pPr>
              <a:defRPr sz="1100" b="0" i="0" u="none" strike="noStrike" baseline="0">
                <a:solidFill>
                  <a:srgbClr val="000000"/>
                </a:solidFill>
                <a:latin typeface="Arial"/>
                <a:ea typeface="Arial"/>
                <a:cs typeface="Arial"/>
              </a:defRPr>
            </a:pPr>
            <a:endParaRPr lang="ru-RU"/>
          </a:p>
        </c:txPr>
        <c:crossAx val="337583104"/>
        <c:crosses val="autoZero"/>
        <c:auto val="1"/>
        <c:lblAlgn val="ctr"/>
        <c:lblOffset val="100"/>
        <c:tickLblSkip val="1"/>
        <c:tickMarkSkip val="1"/>
        <c:noMultiLvlLbl val="0"/>
      </c:catAx>
      <c:valAx>
        <c:axId val="337583104"/>
        <c:scaling>
          <c:orientation val="minMax"/>
          <c:max val="400"/>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581568"/>
        <c:crosses val="autoZero"/>
        <c:crossBetween val="between"/>
        <c:majorUnit val="100"/>
      </c:valAx>
      <c:spPr>
        <a:noFill/>
        <a:ln w="25402">
          <a:noFill/>
        </a:ln>
      </c:spPr>
    </c:plotArea>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defRPr sz="550" b="0" i="0" u="none" strike="noStrike" baseline="0">
          <a:solidFill>
            <a:srgbClr val="000000"/>
          </a:solidFill>
          <a:latin typeface="Arial"/>
          <a:ea typeface="Arial"/>
          <a:cs typeface="Arial"/>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901454743679961E-2"/>
          <c:y val="5.9748427672956114E-2"/>
          <c:w val="0.93783548026283314"/>
          <c:h val="0.70440251572327039"/>
        </c:manualLayout>
      </c:layout>
      <c:barChart>
        <c:barDir val="col"/>
        <c:grouping val="clustered"/>
        <c:varyColors val="0"/>
        <c:ser>
          <c:idx val="1"/>
          <c:order val="0"/>
          <c:tx>
            <c:strRef>
              <c:f>Sheet1!$A$2</c:f>
              <c:strCache>
                <c:ptCount val="1"/>
                <c:pt idx="0">
                  <c:v>розничная торговля</c:v>
                </c:pt>
              </c:strCache>
            </c:strRef>
          </c:tx>
          <c:spPr>
            <a:solidFill>
              <a:srgbClr val="993366"/>
            </a:solidFill>
            <a:ln w="12700">
              <a:solidFill>
                <a:srgbClr val="000000"/>
              </a:solidFill>
              <a:prstDash val="solid"/>
            </a:ln>
          </c:spPr>
          <c:invertIfNegative val="0"/>
          <c:dLbls>
            <c:dLbl>
              <c:idx val="0"/>
              <c:layout>
                <c:manualLayout>
                  <c:x val="4.3548683410082716E-3"/>
                  <c:y val="4.1790018999582424E-3"/>
                </c:manualLayout>
              </c:layout>
              <c:dLblPos val="outEnd"/>
              <c:showLegendKey val="0"/>
              <c:showVal val="1"/>
              <c:showCatName val="0"/>
              <c:showSerName val="0"/>
              <c:showPercent val="0"/>
              <c:showBubbleSize val="0"/>
            </c:dLbl>
            <c:dLbl>
              <c:idx val="1"/>
              <c:layout>
                <c:manualLayout>
                  <c:x val="-2.5682428098250886E-3"/>
                  <c:y val="-3.0663753317075455E-2"/>
                </c:manualLayout>
              </c:layout>
              <c:dLblPos val="outEnd"/>
              <c:showLegendKey val="0"/>
              <c:showVal val="1"/>
              <c:showCatName val="0"/>
              <c:showSerName val="0"/>
              <c:showPercent val="0"/>
              <c:showBubbleSize val="0"/>
            </c:dLbl>
            <c:dLbl>
              <c:idx val="2"/>
              <c:layout>
                <c:manualLayout>
                  <c:x val="-6.3216180668140502E-3"/>
                  <c:y val="-4.6386770107487124E-2"/>
                </c:manualLayout>
              </c:layout>
              <c:dLblPos val="outEnd"/>
              <c:showLegendKey val="0"/>
              <c:showVal val="1"/>
              <c:showCatName val="0"/>
              <c:showSerName val="0"/>
              <c:showPercent val="0"/>
              <c:showBubbleSize val="0"/>
            </c:dLbl>
            <c:dLbl>
              <c:idx val="3"/>
              <c:layout>
                <c:manualLayout>
                  <c:x val="-2.151063054389207E-3"/>
                  <c:y val="-9.0284486413424285E-3"/>
                </c:manualLayout>
              </c:layout>
              <c:dLblPos val="outEnd"/>
              <c:showLegendKey val="0"/>
              <c:showVal val="1"/>
              <c:showCatName val="0"/>
              <c:showSerName val="0"/>
              <c:showPercent val="0"/>
              <c:showBubbleSize val="0"/>
            </c:dLbl>
            <c:dLbl>
              <c:idx val="4"/>
              <c:layout>
                <c:manualLayout>
                  <c:x val="-7.48938815134E-3"/>
                  <c:y val="-5.3804264457737875E-3"/>
                </c:manualLayout>
              </c:layout>
              <c:dLblPos val="outEnd"/>
              <c:showLegendKey val="0"/>
              <c:showVal val="1"/>
              <c:showCatName val="0"/>
              <c:showSerName val="0"/>
              <c:showPercent val="0"/>
              <c:showBubbleSize val="0"/>
            </c:dLbl>
            <c:dLbl>
              <c:idx val="5"/>
              <c:layout>
                <c:manualLayout>
                  <c:x val="-1.4412335516094135E-2"/>
                  <c:y val="7.8271448811650084E-3"/>
                </c:manualLayout>
              </c:layout>
              <c:dLblPos val="outEnd"/>
              <c:showLegendKey val="0"/>
              <c:showVal val="1"/>
              <c:showCatName val="0"/>
              <c:showSerName val="0"/>
              <c:showPercent val="0"/>
              <c:showBubbleSize val="0"/>
            </c:dLbl>
            <c:dLbl>
              <c:idx val="6"/>
              <c:layout>
                <c:manualLayout>
                  <c:x val="-7.0723721819828216E-3"/>
                  <c:y val="2.0908682434023856E-2"/>
                </c:manualLayout>
              </c:layout>
              <c:dLblPos val="outEnd"/>
              <c:showLegendKey val="0"/>
              <c:showVal val="1"/>
              <c:showCatName val="0"/>
              <c:showSerName val="0"/>
              <c:showPercent val="0"/>
              <c:showBubbleSize val="0"/>
            </c:dLbl>
            <c:dLbl>
              <c:idx val="7"/>
              <c:layout>
                <c:manualLayout>
                  <c:x val="-4.9376942246412182E-3"/>
                  <c:y val="1.2103771773121481E-2"/>
                </c:manualLayout>
              </c:layout>
              <c:dLblPos val="outEnd"/>
              <c:showLegendKey val="0"/>
              <c:showVal val="1"/>
              <c:showCatName val="0"/>
              <c:showSerName val="0"/>
              <c:showPercent val="0"/>
              <c:showBubbleSize val="0"/>
            </c:dLbl>
            <c:dLbl>
              <c:idx val="8"/>
              <c:layout>
                <c:manualLayout>
                  <c:x val="-3.1621199709535447E-4"/>
                  <c:y val="4.6946363929543933E-2"/>
                </c:manualLayout>
              </c:layout>
              <c:dLblPos val="outEnd"/>
              <c:showLegendKey val="0"/>
              <c:showVal val="1"/>
              <c:showCatName val="0"/>
              <c:showSerName val="0"/>
              <c:showPercent val="0"/>
              <c:showBubbleSize val="0"/>
            </c:dLbl>
            <c:dLbl>
              <c:idx val="9"/>
              <c:layout>
                <c:manualLayout>
                  <c:x val="4.9880380680115913E-3"/>
                  <c:y val="3.4619368218641852E-2"/>
                </c:manualLayout>
              </c:layout>
              <c:dLblPos val="outEnd"/>
              <c:showLegendKey val="0"/>
              <c:showVal val="1"/>
              <c:showCatName val="0"/>
              <c:showSerName val="0"/>
              <c:showPercent val="0"/>
              <c:showBubbleSize val="0"/>
            </c:dLbl>
            <c:dLbl>
              <c:idx val="10"/>
              <c:layout>
                <c:manualLayout>
                  <c:x val="4.4042349187888401E-3"/>
                  <c:y val="9.4623589676697383E-3"/>
                </c:manualLayout>
              </c:layout>
              <c:dLblPos val="outEnd"/>
              <c:showLegendKey val="0"/>
              <c:showVal val="1"/>
              <c:showCatName val="0"/>
              <c:showSerName val="0"/>
              <c:showPercent val="0"/>
              <c:showBubbleSize val="0"/>
            </c:dLbl>
            <c:numFmt formatCode="0.0" sourceLinked="0"/>
            <c:spPr>
              <a:solidFill>
                <a:srgbClr val="FFFFFF"/>
              </a:solidFill>
              <a:ln w="3175">
                <a:solidFill>
                  <a:srgbClr val="000000"/>
                </a:solidFill>
                <a:prstDash val="solid"/>
              </a:ln>
              <a:effectLst>
                <a:outerShdw dist="35921" dir="2700000" algn="br">
                  <a:srgbClr val="000000"/>
                </a:outerShdw>
              </a:effectLst>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Sheet1!$B$1:$V$1</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Sheet1!$B$2:$V$2</c:f>
              <c:numCache>
                <c:formatCode>General</c:formatCode>
                <c:ptCount val="21"/>
                <c:pt idx="0">
                  <c:v>54</c:v>
                </c:pt>
                <c:pt idx="1">
                  <c:v>40.4</c:v>
                </c:pt>
                <c:pt idx="2">
                  <c:v>30.4</c:v>
                </c:pt>
                <c:pt idx="3">
                  <c:v>30</c:v>
                </c:pt>
                <c:pt idx="4">
                  <c:v>22.2</c:v>
                </c:pt>
                <c:pt idx="5">
                  <c:v>16.2</c:v>
                </c:pt>
                <c:pt idx="6">
                  <c:v>13.4</c:v>
                </c:pt>
                <c:pt idx="7">
                  <c:v>9.9</c:v>
                </c:pt>
                <c:pt idx="8">
                  <c:v>11</c:v>
                </c:pt>
                <c:pt idx="9">
                  <c:v>9.6</c:v>
                </c:pt>
                <c:pt idx="10">
                  <c:v>7.1</c:v>
                </c:pt>
                <c:pt idx="11">
                  <c:v>5</c:v>
                </c:pt>
                <c:pt idx="12">
                  <c:v>3.9</c:v>
                </c:pt>
                <c:pt idx="13">
                  <c:v>3.2</c:v>
                </c:pt>
                <c:pt idx="14">
                  <c:v>2.6</c:v>
                </c:pt>
                <c:pt idx="15">
                  <c:v>2.2999999999999998</c:v>
                </c:pt>
                <c:pt idx="16">
                  <c:v>1.5</c:v>
                </c:pt>
                <c:pt idx="17">
                  <c:v>1.3</c:v>
                </c:pt>
                <c:pt idx="18">
                  <c:v>1.5</c:v>
                </c:pt>
                <c:pt idx="19">
                  <c:v>1.3</c:v>
                </c:pt>
                <c:pt idx="20">
                  <c:v>1.3</c:v>
                </c:pt>
              </c:numCache>
            </c:numRef>
          </c:val>
        </c:ser>
        <c:dLbls>
          <c:showLegendKey val="0"/>
          <c:showVal val="1"/>
          <c:showCatName val="0"/>
          <c:showSerName val="0"/>
          <c:showPercent val="0"/>
          <c:showBubbleSize val="0"/>
        </c:dLbls>
        <c:gapWidth val="75"/>
        <c:axId val="337716736"/>
        <c:axId val="337777024"/>
      </c:barChart>
      <c:lineChart>
        <c:grouping val="standard"/>
        <c:varyColors val="0"/>
        <c:ser>
          <c:idx val="0"/>
          <c:order val="1"/>
          <c:tx>
            <c:strRef>
              <c:f>Sheet1!$A$3</c:f>
              <c:strCache>
                <c:ptCount val="1"/>
                <c:pt idx="0">
                  <c:v>общественное питание</c:v>
                </c:pt>
              </c:strCache>
            </c:strRef>
          </c:tx>
          <c:spPr>
            <a:ln w="34925">
              <a:solidFill>
                <a:srgbClr val="000080"/>
              </a:solidFill>
              <a:prstDash val="solid"/>
            </a:ln>
          </c:spPr>
          <c:marker>
            <c:symbol val="diamond"/>
            <c:size val="10"/>
            <c:spPr>
              <a:solidFill>
                <a:srgbClr val="000080"/>
              </a:solidFill>
              <a:ln>
                <a:solidFill>
                  <a:srgbClr val="000080"/>
                </a:solidFill>
                <a:prstDash val="solid"/>
              </a:ln>
            </c:spPr>
          </c:marker>
          <c:dLbls>
            <c:dLbl>
              <c:idx val="0"/>
              <c:layout>
                <c:manualLayout>
                  <c:x val="1.1934722993321681E-3"/>
                  <c:y val="-2.5454564670442381E-2"/>
                </c:manualLayout>
              </c:layout>
              <c:dLblPos val="r"/>
              <c:showLegendKey val="0"/>
              <c:showVal val="1"/>
              <c:showCatName val="0"/>
              <c:showSerName val="0"/>
              <c:showPercent val="0"/>
              <c:showBubbleSize val="0"/>
            </c:dLbl>
            <c:dLbl>
              <c:idx val="1"/>
              <c:layout>
                <c:manualLayout>
                  <c:x val="1.0118385473405144E-2"/>
                  <c:y val="-1.5265963935824078E-2"/>
                </c:manualLayout>
              </c:layout>
              <c:dLblPos val="r"/>
              <c:showLegendKey val="0"/>
              <c:showVal val="1"/>
              <c:showCatName val="0"/>
              <c:showSerName val="0"/>
              <c:showPercent val="0"/>
              <c:showBubbleSize val="0"/>
            </c:dLbl>
            <c:dLbl>
              <c:idx val="2"/>
              <c:layout>
                <c:manualLayout>
                  <c:x val="2.5702214806421713E-5"/>
                  <c:y val="-2.7844550091615856E-2"/>
                </c:manualLayout>
              </c:layout>
              <c:dLblPos val="r"/>
              <c:showLegendKey val="0"/>
              <c:showVal val="1"/>
              <c:showCatName val="0"/>
              <c:showSerName val="0"/>
              <c:showPercent val="0"/>
              <c:showBubbleSize val="0"/>
            </c:dLbl>
            <c:dLbl>
              <c:idx val="5"/>
              <c:layout>
                <c:manualLayout>
                  <c:x val="-4.8954431267080184E-3"/>
                  <c:y val="-3.5768987804274011E-2"/>
                </c:manualLayout>
              </c:layout>
              <c:dLblPos val="r"/>
              <c:showLegendKey val="0"/>
              <c:showVal val="1"/>
              <c:showCatName val="0"/>
              <c:showSerName val="0"/>
              <c:showPercent val="0"/>
              <c:showBubbleSize val="0"/>
            </c:dLbl>
            <c:dLbl>
              <c:idx val="6"/>
              <c:layout>
                <c:manualLayout>
                  <c:x val="8.598979395991823E-4"/>
                  <c:y val="-5.3378935950999594E-2"/>
                </c:manualLayout>
              </c:layout>
              <c:dLblPos val="r"/>
              <c:showLegendKey val="0"/>
              <c:showVal val="1"/>
              <c:showCatName val="0"/>
              <c:showSerName val="0"/>
              <c:showPercent val="0"/>
              <c:showBubbleSize val="0"/>
            </c:dLbl>
            <c:dLbl>
              <c:idx val="7"/>
              <c:layout>
                <c:manualLayout>
                  <c:x val="-4.4784271573514497E-3"/>
                  <c:y val="7.6271480215919334E-3"/>
                </c:manualLayout>
              </c:layout>
              <c:dLblPos val="r"/>
              <c:showLegendKey val="0"/>
              <c:showVal val="1"/>
              <c:showCatName val="0"/>
              <c:showSerName val="0"/>
              <c:showPercent val="0"/>
              <c:showBubbleSize val="0"/>
            </c:dLbl>
            <c:dLbl>
              <c:idx val="8"/>
              <c:layout>
                <c:manualLayout>
                  <c:x val="-3.8342737438112034E-2"/>
                  <c:y val="-6.6838001094317923E-2"/>
                </c:manualLayout>
              </c:layout>
              <c:dLblPos val="r"/>
              <c:showLegendKey val="0"/>
              <c:showVal val="1"/>
              <c:showCatName val="0"/>
              <c:showSerName val="0"/>
              <c:showPercent val="0"/>
              <c:showBubbleSize val="0"/>
            </c:dLbl>
            <c:dLbl>
              <c:idx val="9"/>
              <c:layout>
                <c:manualLayout>
                  <c:x val="6.92946973653469E-4"/>
                  <c:y val="1.1023362358122547E-2"/>
                </c:manualLayout>
              </c:layout>
              <c:dLblPos val="r"/>
              <c:showLegendKey val="0"/>
              <c:showVal val="1"/>
              <c:showCatName val="0"/>
              <c:showSerName val="0"/>
              <c:showPercent val="0"/>
              <c:showBubbleSize val="0"/>
            </c:dLbl>
            <c:dLbl>
              <c:idx val="10"/>
              <c:layout>
                <c:manualLayout>
                  <c:x val="-4.4264865684286565E-2"/>
                  <c:y val="-4.7215498488367459E-2"/>
                </c:manualLayout>
              </c:layout>
              <c:dLblPos val="r"/>
              <c:showLegendKey val="0"/>
              <c:showVal val="1"/>
              <c:showCatName val="0"/>
              <c:showSerName val="0"/>
              <c:showPercent val="0"/>
              <c:showBubbleSize val="0"/>
            </c:dLbl>
            <c:dLbl>
              <c:idx val="11"/>
              <c:layout>
                <c:manualLayout>
                  <c:x val="-4.0094310671861082E-2"/>
                  <c:y val="3.6684029602144452E-2"/>
                </c:manualLayout>
              </c:layout>
              <c:dLblPos val="r"/>
              <c:showLegendKey val="0"/>
              <c:showVal val="1"/>
              <c:showCatName val="0"/>
              <c:showSerName val="0"/>
              <c:showPercent val="0"/>
              <c:showBubbleSize val="0"/>
            </c:dLbl>
            <c:dLbl>
              <c:idx val="12"/>
              <c:layout>
                <c:manualLayout>
                  <c:x val="-5.8129844217437287E-3"/>
                  <c:y val="2.1337839845491081E-2"/>
                </c:manualLayout>
              </c:layout>
              <c:dLblPos val="r"/>
              <c:showLegendKey val="0"/>
              <c:showVal val="1"/>
              <c:showCatName val="0"/>
              <c:showSerName val="0"/>
              <c:showPercent val="0"/>
              <c:showBubbleSize val="0"/>
            </c:dLbl>
            <c:dLbl>
              <c:idx val="16"/>
              <c:layout>
                <c:manualLayout>
                  <c:x val="-1.6072291074130003E-2"/>
                  <c:y val="-2.1680901254117042E-2"/>
                </c:manualLayout>
              </c:layout>
              <c:dLblPos val="r"/>
              <c:showLegendKey val="0"/>
              <c:showVal val="1"/>
              <c:showCatName val="0"/>
              <c:showSerName val="0"/>
              <c:showPercent val="0"/>
              <c:showBubbleSize val="0"/>
            </c:dLbl>
            <c:dLbl>
              <c:idx val="17"/>
              <c:layout>
                <c:manualLayout>
                  <c:x val="-2.299540222496424E-2"/>
                  <c:y val="-5.1995469330715104E-2"/>
                </c:manualLayout>
              </c:layout>
              <c:dLblPos val="r"/>
              <c:showLegendKey val="0"/>
              <c:showVal val="1"/>
              <c:showCatName val="0"/>
              <c:showSerName val="0"/>
              <c:showPercent val="0"/>
              <c:showBubbleSize val="0"/>
            </c:dLbl>
            <c:dLbl>
              <c:idx val="18"/>
              <c:layout>
                <c:manualLayout>
                  <c:x val="-3.2083217571605059E-2"/>
                  <c:y val="-5.4511161521307194E-2"/>
                </c:manualLayout>
              </c:layout>
              <c:dLblPos val="r"/>
              <c:showLegendKey val="0"/>
              <c:showVal val="1"/>
              <c:showCatName val="0"/>
              <c:showSerName val="0"/>
              <c:showPercent val="0"/>
              <c:showBubbleSize val="0"/>
            </c:dLbl>
            <c:dLbl>
              <c:idx val="19"/>
              <c:layout>
                <c:manualLayout>
                  <c:x val="-2.5353898161842386E-2"/>
                  <c:y val="-4.4697277529459734E-2"/>
                </c:manualLayout>
              </c:layout>
              <c:showLegendKey val="0"/>
              <c:showVal val="1"/>
              <c:showCatName val="0"/>
              <c:showSerName val="0"/>
              <c:showPercent val="0"/>
              <c:showBubbleSize val="0"/>
            </c:dLbl>
            <c:numFmt formatCode="0.0" sourceLinked="0"/>
            <c:spPr>
              <a:noFill/>
              <a:ln w="25400">
                <a:noFill/>
              </a:ln>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Sheet1!$B$1:$V$1</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Sheet1!$B$3:$V$3</c:f>
              <c:numCache>
                <c:formatCode>General</c:formatCode>
                <c:ptCount val="21"/>
                <c:pt idx="0">
                  <c:v>70.099999999999994</c:v>
                </c:pt>
                <c:pt idx="1">
                  <c:v>68.400000000000006</c:v>
                </c:pt>
                <c:pt idx="2">
                  <c:v>60.9</c:v>
                </c:pt>
                <c:pt idx="3">
                  <c:v>55.9</c:v>
                </c:pt>
                <c:pt idx="4">
                  <c:v>32.800000000000004</c:v>
                </c:pt>
                <c:pt idx="5">
                  <c:v>22.5</c:v>
                </c:pt>
                <c:pt idx="6">
                  <c:v>20.5</c:v>
                </c:pt>
                <c:pt idx="7">
                  <c:v>18.5</c:v>
                </c:pt>
                <c:pt idx="8">
                  <c:v>22.9</c:v>
                </c:pt>
                <c:pt idx="9">
                  <c:v>32.1</c:v>
                </c:pt>
                <c:pt idx="10">
                  <c:v>36.200000000000003</c:v>
                </c:pt>
                <c:pt idx="11">
                  <c:v>34.300000000000004</c:v>
                </c:pt>
                <c:pt idx="12">
                  <c:v>39.700000000000003</c:v>
                </c:pt>
                <c:pt idx="13">
                  <c:v>43.5</c:v>
                </c:pt>
                <c:pt idx="14">
                  <c:v>38</c:v>
                </c:pt>
                <c:pt idx="15">
                  <c:v>31.5</c:v>
                </c:pt>
                <c:pt idx="16">
                  <c:v>24.1</c:v>
                </c:pt>
                <c:pt idx="17">
                  <c:v>17.8</c:v>
                </c:pt>
                <c:pt idx="18">
                  <c:v>21.8</c:v>
                </c:pt>
                <c:pt idx="19">
                  <c:v>19.899999999999999</c:v>
                </c:pt>
                <c:pt idx="20">
                  <c:v>19.5</c:v>
                </c:pt>
              </c:numCache>
            </c:numRef>
          </c:val>
          <c:smooth val="0"/>
        </c:ser>
        <c:dLbls>
          <c:showLegendKey val="0"/>
          <c:showVal val="1"/>
          <c:showCatName val="0"/>
          <c:showSerName val="0"/>
          <c:showPercent val="0"/>
          <c:showBubbleSize val="0"/>
        </c:dLbls>
        <c:marker val="1"/>
        <c:smooth val="0"/>
        <c:axId val="337778944"/>
        <c:axId val="337793024"/>
      </c:lineChart>
      <c:catAx>
        <c:axId val="337716736"/>
        <c:scaling>
          <c:orientation val="minMax"/>
        </c:scaling>
        <c:delete val="0"/>
        <c:axPos val="b"/>
        <c:numFmt formatCode="General" sourceLinked="1"/>
        <c:majorTickMark val="cross"/>
        <c:minorTickMark val="none"/>
        <c:tickLblPos val="nextTo"/>
        <c:spPr>
          <a:ln w="3175">
            <a:solidFill>
              <a:srgbClr val="000000"/>
            </a:solidFill>
            <a:prstDash val="solid"/>
          </a:ln>
        </c:spPr>
        <c:txPr>
          <a:bodyPr rot="-5400000" vert="horz"/>
          <a:lstStyle/>
          <a:p>
            <a:pPr>
              <a:defRPr sz="1100" b="0" i="0" u="none" strike="noStrike" baseline="0">
                <a:solidFill>
                  <a:srgbClr val="000000"/>
                </a:solidFill>
                <a:latin typeface="Arial"/>
                <a:ea typeface="Arial"/>
                <a:cs typeface="Arial"/>
              </a:defRPr>
            </a:pPr>
            <a:endParaRPr lang="ru-RU"/>
          </a:p>
        </c:txPr>
        <c:crossAx val="337777024"/>
        <c:crosses val="autoZero"/>
        <c:auto val="0"/>
        <c:lblAlgn val="ctr"/>
        <c:lblOffset val="100"/>
        <c:tickLblSkip val="1"/>
        <c:tickMarkSkip val="1"/>
        <c:noMultiLvlLbl val="0"/>
      </c:catAx>
      <c:valAx>
        <c:axId val="337777024"/>
        <c:scaling>
          <c:orientation val="minMax"/>
        </c:scaling>
        <c:delete val="0"/>
        <c:axPos val="l"/>
        <c:title>
          <c:tx>
            <c:rich>
              <a:bodyPr rot="0" vert="horz"/>
              <a:lstStyle/>
              <a:p>
                <a:pPr algn="ctr">
                  <a:defRPr sz="800" b="1" i="0" u="none" strike="noStrike" baseline="0">
                    <a:solidFill>
                      <a:srgbClr val="000000"/>
                    </a:solidFill>
                    <a:latin typeface="Arial"/>
                    <a:ea typeface="Arial"/>
                    <a:cs typeface="Arial"/>
                  </a:defRPr>
                </a:pPr>
                <a:r>
                  <a:rPr lang="ru-RU"/>
                  <a:t>%</a:t>
                </a:r>
              </a:p>
            </c:rich>
          </c:tx>
          <c:layout>
            <c:manualLayout>
              <c:xMode val="edge"/>
              <c:yMode val="edge"/>
              <c:x val="0.10301109350237685"/>
              <c:y val="6.2893081761007438E-3"/>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716736"/>
        <c:crosses val="autoZero"/>
        <c:crossBetween val="between"/>
      </c:valAx>
      <c:catAx>
        <c:axId val="337778944"/>
        <c:scaling>
          <c:orientation val="minMax"/>
        </c:scaling>
        <c:delete val="1"/>
        <c:axPos val="b"/>
        <c:numFmt formatCode="General" sourceLinked="1"/>
        <c:majorTickMark val="out"/>
        <c:minorTickMark val="none"/>
        <c:tickLblPos val="nextTo"/>
        <c:crossAx val="337793024"/>
        <c:crosses val="autoZero"/>
        <c:auto val="0"/>
        <c:lblAlgn val="ctr"/>
        <c:lblOffset val="100"/>
        <c:noMultiLvlLbl val="0"/>
      </c:catAx>
      <c:valAx>
        <c:axId val="337793024"/>
        <c:scaling>
          <c:orientation val="minMax"/>
        </c:scaling>
        <c:delete val="1"/>
        <c:axPos val="l"/>
        <c:numFmt formatCode="General" sourceLinked="1"/>
        <c:majorTickMark val="out"/>
        <c:minorTickMark val="none"/>
        <c:tickLblPos val="nextTo"/>
        <c:crossAx val="337778944"/>
        <c:crosses val="autoZero"/>
        <c:crossBetween val="between"/>
      </c:valAx>
      <c:spPr>
        <a:gradFill>
          <a:gsLst>
            <a:gs pos="50000">
              <a:srgbClr val="C0504D">
                <a:lumMod val="40000"/>
                <a:lumOff val="60000"/>
                <a:alpha val="50000"/>
              </a:srgbClr>
            </a:gs>
            <a:gs pos="0">
              <a:srgbClr val="E6D78A">
                <a:alpha val="50000"/>
              </a:srgbClr>
            </a:gs>
            <a:gs pos="30000">
              <a:srgbClr val="C7AC4C">
                <a:alpha val="50000"/>
              </a:srgbClr>
            </a:gs>
            <a:gs pos="45000">
              <a:srgbClr val="E6D78A">
                <a:alpha val="50000"/>
              </a:srgbClr>
            </a:gs>
            <a:gs pos="77000">
              <a:srgbClr val="C7AC4C">
                <a:alpha val="50000"/>
              </a:srgbClr>
            </a:gs>
            <a:gs pos="100000">
              <a:srgbClr val="E6DCAC">
                <a:alpha val="50000"/>
              </a:srgbClr>
            </a:gs>
          </a:gsLst>
          <a:path path="circle">
            <a:fillToRect l="100000" t="100000"/>
          </a:path>
        </a:gradFill>
        <a:ln w="25400">
          <a:noFill/>
        </a:ln>
      </c:spPr>
    </c:plotArea>
    <c:legend>
      <c:legendPos val="b"/>
      <c:layout>
        <c:manualLayout>
          <c:xMode val="edge"/>
          <c:yMode val="edge"/>
          <c:x val="9.6671949286847247E-2"/>
          <c:y val="0.9056603773584998"/>
          <c:w val="0.85736925515055462"/>
          <c:h val="7.5471698113207711E-2"/>
        </c:manualLayout>
      </c:layout>
      <c:overlay val="0"/>
      <c:spPr>
        <a:solidFill>
          <a:srgbClr val="FFFFFF"/>
        </a:solidFill>
        <a:ln w="3175">
          <a:noFill/>
          <a:prstDash val="solid"/>
        </a:ln>
      </c:spPr>
      <c:txPr>
        <a:bodyPr/>
        <a:lstStyle/>
        <a:p>
          <a:pPr>
            <a:defRPr sz="1200"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FFFF"/>
    </a:solidFill>
    <a:ln w="38100" cap="flat" cmpd="dbl" algn="ctr">
      <a:solidFill>
        <a:srgbClr val="000000"/>
      </a:solidFill>
      <a:prstDash val="solid"/>
      <a:miter lim="800000"/>
      <a:headEnd type="none" w="med" len="med"/>
      <a:tailEnd type="none" w="med" len="med"/>
    </a:ln>
  </c:spPr>
  <c:txPr>
    <a:bodyPr/>
    <a:lstStyle/>
    <a:p>
      <a:pPr>
        <a:defRPr sz="1000" b="0" i="0" u="none" strike="noStrike" baseline="0">
          <a:solidFill>
            <a:srgbClr val="000000"/>
          </a:solidFill>
          <a:latin typeface="Arial"/>
          <a:ea typeface="Arial"/>
          <a:cs typeface="Arial"/>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734914803728337E-2"/>
          <c:y val="4.3708565684608576E-2"/>
          <c:w val="0.93815275101619922"/>
          <c:h val="0.72356520594500151"/>
        </c:manualLayout>
      </c:layout>
      <c:barChart>
        <c:barDir val="col"/>
        <c:grouping val="clustered"/>
        <c:varyColors val="0"/>
        <c:ser>
          <c:idx val="1"/>
          <c:order val="0"/>
          <c:tx>
            <c:strRef>
              <c:f>Sheet1!$A$2</c:f>
              <c:strCache>
                <c:ptCount val="1"/>
                <c:pt idx="0">
                  <c:v>к 1990</c:v>
                </c:pt>
              </c:strCache>
            </c:strRef>
          </c:tx>
          <c:spPr>
            <a:solidFill>
              <a:srgbClr val="993366"/>
            </a:solidFill>
            <a:ln w="12675">
              <a:solidFill>
                <a:srgbClr val="000000"/>
              </a:solidFill>
              <a:prstDash val="solid"/>
            </a:ln>
          </c:spPr>
          <c:invertIfNegative val="0"/>
          <c:dLbls>
            <c:dLbl>
              <c:idx val="0"/>
              <c:layout>
                <c:manualLayout>
                  <c:x val="4.8387359823601934E-3"/>
                  <c:y val="7.7190456506527033E-2"/>
                </c:manualLayout>
              </c:layout>
              <c:dLblPos val="outEnd"/>
              <c:showLegendKey val="0"/>
              <c:showVal val="1"/>
              <c:showCatName val="0"/>
              <c:showSerName val="0"/>
              <c:showPercent val="0"/>
              <c:showBubbleSize val="0"/>
            </c:dLbl>
            <c:dLbl>
              <c:idx val="1"/>
              <c:layout>
                <c:manualLayout>
                  <c:x val="-2.6208664679136452E-3"/>
                  <c:y val="0.10930705992756815"/>
                </c:manualLayout>
              </c:layout>
              <c:dLblPos val="outEnd"/>
              <c:showLegendKey val="0"/>
              <c:showVal val="1"/>
              <c:showCatName val="0"/>
              <c:showSerName val="0"/>
              <c:showPercent val="0"/>
              <c:showBubbleSize val="0"/>
            </c:dLbl>
            <c:dLbl>
              <c:idx val="2"/>
              <c:layout>
                <c:manualLayout>
                  <c:x val="-8.5056657685808508E-3"/>
                  <c:y val="0.11706057936341629"/>
                </c:manualLayout>
              </c:layout>
              <c:dLblPos val="outEnd"/>
              <c:showLegendKey val="0"/>
              <c:showVal val="1"/>
              <c:showCatName val="0"/>
              <c:showSerName val="0"/>
              <c:showPercent val="0"/>
              <c:showBubbleSize val="0"/>
            </c:dLbl>
            <c:dLbl>
              <c:idx val="3"/>
              <c:layout>
                <c:manualLayout>
                  <c:x val="-6.5164493212167924E-3"/>
                  <c:y val="6.6781784673044353E-2"/>
                </c:manualLayout>
              </c:layout>
              <c:dLblPos val="outEnd"/>
              <c:showLegendKey val="0"/>
              <c:showVal val="1"/>
              <c:showCatName val="0"/>
              <c:showSerName val="0"/>
              <c:showPercent val="0"/>
              <c:showBubbleSize val="0"/>
            </c:dLbl>
            <c:dLbl>
              <c:idx val="4"/>
              <c:layout>
                <c:manualLayout>
                  <c:x val="-7.6768391730650124E-3"/>
                  <c:y val="7.1906413566799082E-2"/>
                </c:manualLayout>
              </c:layout>
              <c:dLblPos val="outEnd"/>
              <c:showLegendKey val="0"/>
              <c:showVal val="1"/>
              <c:showCatName val="0"/>
              <c:showSerName val="0"/>
              <c:showPercent val="0"/>
              <c:showBubbleSize val="0"/>
            </c:dLbl>
            <c:dLbl>
              <c:idx val="5"/>
              <c:layout>
                <c:manualLayout>
                  <c:x val="6.1158987272434792E-4"/>
                  <c:y val="8.1784196597291248E-2"/>
                </c:manualLayout>
              </c:layout>
              <c:dLblPos val="outEnd"/>
              <c:showLegendKey val="0"/>
              <c:showVal val="1"/>
              <c:showCatName val="0"/>
              <c:showSerName val="0"/>
              <c:showPercent val="0"/>
              <c:showBubbleSize val="0"/>
            </c:dLbl>
            <c:dLbl>
              <c:idx val="6"/>
              <c:layout>
                <c:manualLayout>
                  <c:x val="-2.1236031287307252E-3"/>
                  <c:y val="5.4830970742051188E-3"/>
                </c:manualLayout>
              </c:layout>
              <c:dLblPos val="outEnd"/>
              <c:showLegendKey val="0"/>
              <c:showVal val="1"/>
              <c:showCatName val="0"/>
              <c:showSerName val="0"/>
              <c:showPercent val="0"/>
              <c:showBubbleSize val="0"/>
            </c:dLbl>
            <c:dLbl>
              <c:idx val="7"/>
              <c:layout>
                <c:manualLayout>
                  <c:x val="-6.4335992797916516E-3"/>
                  <c:y val="6.7365782615800424E-2"/>
                </c:manualLayout>
              </c:layout>
              <c:dLblPos val="outEnd"/>
              <c:showLegendKey val="0"/>
              <c:showVal val="1"/>
              <c:showCatName val="0"/>
              <c:showSerName val="0"/>
              <c:showPercent val="0"/>
              <c:showBubbleSize val="0"/>
            </c:dLbl>
            <c:dLbl>
              <c:idx val="8"/>
              <c:layout>
                <c:manualLayout>
                  <c:x val="-6.0191859820342194E-3"/>
                  <c:y val="8.0828304736167547E-2"/>
                </c:manualLayout>
              </c:layout>
              <c:dLblPos val="outEnd"/>
              <c:showLegendKey val="0"/>
              <c:showVal val="1"/>
              <c:showCatName val="0"/>
              <c:showSerName val="0"/>
              <c:showPercent val="0"/>
              <c:showBubbleSize val="0"/>
            </c:dLbl>
            <c:dLbl>
              <c:idx val="9"/>
              <c:layout>
                <c:manualLayout>
                  <c:x val="5.4188493629679134E-3"/>
                  <c:y val="6.0276051279360761E-2"/>
                </c:manualLayout>
              </c:layout>
              <c:dLblPos val="outEnd"/>
              <c:showLegendKey val="0"/>
              <c:showVal val="1"/>
              <c:showCatName val="0"/>
              <c:showSerName val="0"/>
              <c:showPercent val="0"/>
              <c:showBubbleSize val="0"/>
            </c:dLbl>
            <c:dLbl>
              <c:idx val="10"/>
              <c:layout>
                <c:manualLayout>
                  <c:x val="-2.0407530873053936E-3"/>
                  <c:y val="1.0873734141467426E-2"/>
                </c:manualLayout>
              </c:layout>
              <c:dLblPos val="outEnd"/>
              <c:showLegendKey val="0"/>
              <c:showVal val="1"/>
              <c:showCatName val="0"/>
              <c:showSerName val="0"/>
              <c:showPercent val="0"/>
              <c:showBubbleSize val="0"/>
            </c:dLbl>
            <c:dLbl>
              <c:idx val="11"/>
              <c:layout>
                <c:manualLayout>
                  <c:x val="-7.9255523879740424E-3"/>
                  <c:y val="6.1776233928918046E-2"/>
                </c:manualLayout>
              </c:layout>
              <c:dLblPos val="outEnd"/>
              <c:showLegendKey val="0"/>
              <c:showVal val="1"/>
              <c:showCatName val="0"/>
              <c:showSerName val="0"/>
              <c:showPercent val="0"/>
              <c:showBubbleSize val="0"/>
            </c:dLbl>
            <c:dLbl>
              <c:idx val="12"/>
              <c:layout>
                <c:manualLayout>
                  <c:x val="-1.2235548539033719E-2"/>
                  <c:y val="4.1542555670041066E-2"/>
                </c:manualLayout>
              </c:layout>
              <c:dLblPos val="outEnd"/>
              <c:showLegendKey val="0"/>
              <c:showVal val="1"/>
              <c:showCatName val="0"/>
              <c:showSerName val="0"/>
              <c:showPercent val="0"/>
              <c:showBubbleSize val="0"/>
            </c:dLbl>
            <c:dLbl>
              <c:idx val="13"/>
              <c:layout>
                <c:manualLayout>
                  <c:x val="-5.5219226428511944E-3"/>
                  <c:y val="-8.0724509209218268E-3"/>
                </c:manualLayout>
              </c:layout>
              <c:dLblPos val="outEnd"/>
              <c:showLegendKey val="0"/>
              <c:showVal val="1"/>
              <c:showCatName val="0"/>
              <c:showSerName val="0"/>
              <c:showPercent val="0"/>
              <c:showBubbleSize val="0"/>
            </c:dLbl>
            <c:dLbl>
              <c:idx val="14"/>
              <c:layout>
                <c:manualLayout>
                  <c:x val="-6.682312494699312E-3"/>
                  <c:y val="0.11003702661751433"/>
                </c:manualLayout>
              </c:layout>
              <c:dLblPos val="outEnd"/>
              <c:showLegendKey val="0"/>
              <c:showVal val="1"/>
              <c:showCatName val="0"/>
              <c:showSerName val="0"/>
              <c:showPercent val="0"/>
              <c:showBubbleSize val="0"/>
            </c:dLbl>
            <c:dLbl>
              <c:idx val="15"/>
              <c:layout>
                <c:manualLayout>
                  <c:x val="-3.1182928977295452E-3"/>
                  <c:y val="6.3316333313469891E-2"/>
                </c:manualLayout>
              </c:layout>
              <c:dLblPos val="outEnd"/>
              <c:showLegendKey val="0"/>
              <c:showVal val="1"/>
              <c:showCatName val="0"/>
              <c:showSerName val="0"/>
              <c:showPercent val="0"/>
              <c:showBubbleSize val="0"/>
            </c:dLbl>
            <c:dLbl>
              <c:idx val="16"/>
              <c:layout>
                <c:manualLayout>
                  <c:x val="4.4572669924128008E-4"/>
                  <c:y val="1.8799693760720656E-2"/>
                </c:manualLayout>
              </c:layout>
              <c:dLblPos val="outEnd"/>
              <c:showLegendKey val="0"/>
              <c:showVal val="1"/>
              <c:showCatName val="0"/>
              <c:showSerName val="0"/>
              <c:showPercent val="0"/>
              <c:showBubbleSize val="0"/>
            </c:dLbl>
            <c:dLbl>
              <c:idx val="17"/>
              <c:layout>
                <c:manualLayout>
                  <c:x val="-7.1466315260739822E-4"/>
                  <c:y val="1.2918250892796366E-2"/>
                </c:manualLayout>
              </c:layout>
              <c:dLblPos val="outEnd"/>
              <c:showLegendKey val="0"/>
              <c:showVal val="1"/>
              <c:showCatName val="0"/>
              <c:showSerName val="0"/>
              <c:showPercent val="0"/>
              <c:showBubbleSize val="0"/>
            </c:dLbl>
            <c:dLbl>
              <c:idx val="18"/>
              <c:layout>
                <c:manualLayout>
                  <c:x val="-1.8750530044558745E-3"/>
                  <c:y val="6.9078488451092074E-2"/>
                </c:manualLayout>
              </c:layout>
              <c:dLblPos val="outEnd"/>
              <c:showLegendKey val="0"/>
              <c:showVal val="1"/>
              <c:showCatName val="0"/>
              <c:showSerName val="0"/>
              <c:showPercent val="0"/>
              <c:showBubbleSize val="0"/>
            </c:dLbl>
            <c:numFmt formatCode="0.0" sourceLinked="0"/>
            <c:spPr>
              <a:solidFill>
                <a:srgbClr val="FFFFFF"/>
              </a:solidFill>
              <a:ln w="3169">
                <a:solidFill>
                  <a:srgbClr val="000000"/>
                </a:solidFill>
                <a:prstDash val="solid"/>
              </a:ln>
              <a:effectLst>
                <a:outerShdw dist="35921" dir="2700000" algn="br">
                  <a:srgbClr val="000000"/>
                </a:outerShdw>
              </a:effectLst>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Sheet1!$B$1:$V$1</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Sheet1!$B$2:$V$2</c:f>
              <c:numCache>
                <c:formatCode>General</c:formatCode>
                <c:ptCount val="21"/>
                <c:pt idx="0">
                  <c:v>71.099999999999994</c:v>
                </c:pt>
                <c:pt idx="1">
                  <c:v>39.4</c:v>
                </c:pt>
                <c:pt idx="2">
                  <c:v>52.2</c:v>
                </c:pt>
                <c:pt idx="3">
                  <c:v>54.3</c:v>
                </c:pt>
                <c:pt idx="4">
                  <c:v>38.5</c:v>
                </c:pt>
                <c:pt idx="5">
                  <c:v>43.3</c:v>
                </c:pt>
                <c:pt idx="6">
                  <c:v>45.4</c:v>
                </c:pt>
                <c:pt idx="7">
                  <c:v>45.1</c:v>
                </c:pt>
                <c:pt idx="8">
                  <c:v>32.9</c:v>
                </c:pt>
                <c:pt idx="9">
                  <c:v>33.300000000000004</c:v>
                </c:pt>
                <c:pt idx="10">
                  <c:v>35.6</c:v>
                </c:pt>
                <c:pt idx="11">
                  <c:v>29.4</c:v>
                </c:pt>
                <c:pt idx="12">
                  <c:v>42.6</c:v>
                </c:pt>
                <c:pt idx="13">
                  <c:v>45.7</c:v>
                </c:pt>
                <c:pt idx="14">
                  <c:v>48.9</c:v>
                </c:pt>
                <c:pt idx="15">
                  <c:v>58.6</c:v>
                </c:pt>
                <c:pt idx="16">
                  <c:v>70.5</c:v>
                </c:pt>
                <c:pt idx="17">
                  <c:v>73.400000000000006</c:v>
                </c:pt>
                <c:pt idx="18">
                  <c:v>68.400000000000006</c:v>
                </c:pt>
                <c:pt idx="19">
                  <c:v>75.3</c:v>
                </c:pt>
                <c:pt idx="20">
                  <c:v>76.599999999999994</c:v>
                </c:pt>
              </c:numCache>
            </c:numRef>
          </c:val>
        </c:ser>
        <c:dLbls>
          <c:showLegendKey val="0"/>
          <c:showVal val="1"/>
          <c:showCatName val="0"/>
          <c:showSerName val="0"/>
          <c:showPercent val="0"/>
          <c:showBubbleSize val="0"/>
        </c:dLbls>
        <c:gapWidth val="75"/>
        <c:axId val="337966208"/>
        <c:axId val="338305024"/>
      </c:barChart>
      <c:lineChart>
        <c:grouping val="standard"/>
        <c:varyColors val="0"/>
        <c:ser>
          <c:idx val="0"/>
          <c:order val="1"/>
          <c:tx>
            <c:strRef>
              <c:f>Sheet1!$A$3</c:f>
              <c:strCache>
                <c:ptCount val="1"/>
                <c:pt idx="0">
                  <c:v>к предыдущему году</c:v>
                </c:pt>
              </c:strCache>
            </c:strRef>
          </c:tx>
          <c:spPr>
            <a:ln w="34925">
              <a:solidFill>
                <a:srgbClr val="000080"/>
              </a:solidFill>
              <a:prstDash val="solid"/>
            </a:ln>
          </c:spPr>
          <c:marker>
            <c:symbol val="diamond"/>
            <c:size val="10"/>
            <c:spPr>
              <a:solidFill>
                <a:srgbClr val="000080"/>
              </a:solidFill>
              <a:ln>
                <a:solidFill>
                  <a:srgbClr val="000080"/>
                </a:solidFill>
                <a:prstDash val="solid"/>
              </a:ln>
            </c:spPr>
          </c:marker>
          <c:dLbls>
            <c:dLbl>
              <c:idx val="0"/>
              <c:layout>
                <c:manualLayout>
                  <c:x val="-7.7867622595230125E-3"/>
                  <c:y val="-6.9314754332679113E-2"/>
                </c:manualLayout>
              </c:layout>
              <c:dLblPos val="r"/>
              <c:showLegendKey val="0"/>
              <c:showVal val="1"/>
              <c:showCatName val="0"/>
              <c:showSerName val="0"/>
              <c:showPercent val="0"/>
              <c:showBubbleSize val="0"/>
            </c:dLbl>
            <c:dLbl>
              <c:idx val="1"/>
              <c:layout>
                <c:manualLayout>
                  <c:x val="3.6512730854791611E-3"/>
                  <c:y val="-2.2859317506127512E-2"/>
                </c:manualLayout>
              </c:layout>
              <c:dLblPos val="r"/>
              <c:showLegendKey val="0"/>
              <c:showVal val="1"/>
              <c:showCatName val="0"/>
              <c:showSerName val="0"/>
              <c:showPercent val="0"/>
              <c:showBubbleSize val="0"/>
            </c:dLbl>
            <c:dLbl>
              <c:idx val="5"/>
              <c:layout>
                <c:manualLayout>
                  <c:x val="5.8451682769155308E-4"/>
                  <c:y val="-3.0068669107536264E-2"/>
                </c:manualLayout>
              </c:layout>
              <c:dLblPos val="r"/>
              <c:showLegendKey val="0"/>
              <c:showVal val="1"/>
              <c:showCatName val="0"/>
              <c:showSerName val="0"/>
              <c:showPercent val="0"/>
              <c:showBubbleSize val="0"/>
            </c:dLbl>
            <c:dLbl>
              <c:idx val="6"/>
              <c:layout>
                <c:manualLayout>
                  <c:x val="-1.9473510819432736E-2"/>
                  <c:y val="4.9033717827708878E-2"/>
                </c:manualLayout>
              </c:layout>
              <c:dLblPos val="r"/>
              <c:showLegendKey val="0"/>
              <c:showVal val="1"/>
              <c:showCatName val="0"/>
              <c:showSerName val="0"/>
              <c:showPercent val="0"/>
              <c:showBubbleSize val="0"/>
            </c:dLbl>
            <c:dLbl>
              <c:idx val="9"/>
              <c:layout>
                <c:manualLayout>
                  <c:x val="-3.3978302422223022E-2"/>
                  <c:y val="-5.2678841301113159E-2"/>
                </c:manualLayout>
              </c:layout>
              <c:dLblPos val="r"/>
              <c:showLegendKey val="0"/>
              <c:showVal val="1"/>
              <c:showCatName val="0"/>
              <c:showSerName val="0"/>
              <c:showPercent val="0"/>
              <c:showBubbleSize val="0"/>
            </c:dLbl>
            <c:dLbl>
              <c:idx val="10"/>
              <c:layout>
                <c:manualLayout>
                  <c:x val="4.2313864660863884E-3"/>
                  <c:y val="1.6638788478400404E-2"/>
                </c:manualLayout>
              </c:layout>
              <c:dLblPos val="r"/>
              <c:showLegendKey val="0"/>
              <c:showVal val="1"/>
              <c:showCatName val="0"/>
              <c:showSerName val="0"/>
              <c:showPercent val="0"/>
              <c:showBubbleSize val="0"/>
            </c:dLbl>
            <c:dLbl>
              <c:idx val="11"/>
              <c:layout>
                <c:manualLayout>
                  <c:x val="-5.0472310472375867E-2"/>
                  <c:y val="-4.7766692279754122E-2"/>
                </c:manualLayout>
              </c:layout>
              <c:dLblPos val="r"/>
              <c:showLegendKey val="0"/>
              <c:showVal val="1"/>
              <c:showCatName val="0"/>
              <c:showSerName val="0"/>
              <c:showPercent val="0"/>
              <c:showBubbleSize val="0"/>
            </c:dLbl>
            <c:dLbl>
              <c:idx val="12"/>
              <c:layout>
                <c:manualLayout>
                  <c:x val="-1.8561834182492281E-2"/>
                  <c:y val="-5.8069478368375262E-2"/>
                </c:manualLayout>
              </c:layout>
              <c:dLblPos val="r"/>
              <c:showLegendKey val="0"/>
              <c:showVal val="1"/>
              <c:showCatName val="0"/>
              <c:showSerName val="0"/>
              <c:showPercent val="0"/>
              <c:showBubbleSize val="0"/>
            </c:dLbl>
            <c:dLbl>
              <c:idx val="13"/>
              <c:layout>
                <c:manualLayout>
                  <c:x val="-1.9722224034340721E-2"/>
                  <c:y val="-7.3841939984897534E-2"/>
                </c:manualLayout>
              </c:layout>
              <c:dLblPos val="r"/>
              <c:showLegendKey val="0"/>
              <c:showVal val="1"/>
              <c:showCatName val="0"/>
              <c:showSerName val="0"/>
              <c:showPercent val="0"/>
              <c:showBubbleSize val="0"/>
            </c:dLbl>
            <c:dLbl>
              <c:idx val="14"/>
              <c:layout>
                <c:manualLayout>
                  <c:x val="-4.292985798067725E-2"/>
                  <c:y val="5.779623826444405E-2"/>
                </c:manualLayout>
              </c:layout>
              <c:dLblPos val="r"/>
              <c:showLegendKey val="0"/>
              <c:showVal val="1"/>
              <c:showCatName val="0"/>
              <c:showSerName val="0"/>
              <c:showPercent val="0"/>
              <c:showBubbleSize val="0"/>
            </c:dLbl>
            <c:dLbl>
              <c:idx val="15"/>
              <c:layout>
                <c:manualLayout>
                  <c:x val="-4.8814657281344424E-2"/>
                  <c:y val="-5.2532872553922839E-2"/>
                </c:manualLayout>
              </c:layout>
              <c:dLblPos val="r"/>
              <c:showLegendKey val="0"/>
              <c:showVal val="1"/>
              <c:showCatName val="0"/>
              <c:showSerName val="0"/>
              <c:showPercent val="0"/>
              <c:showBubbleSize val="0"/>
            </c:dLbl>
            <c:dLbl>
              <c:idx val="16"/>
              <c:layout>
                <c:manualLayout>
                  <c:x val="-2.7927803038703881E-2"/>
                  <c:y val="-6.1932709653851593E-2"/>
                </c:manualLayout>
              </c:layout>
              <c:dLblPos val="r"/>
              <c:showLegendKey val="0"/>
              <c:showVal val="1"/>
              <c:showCatName val="0"/>
              <c:showSerName val="0"/>
              <c:showPercent val="0"/>
              <c:showBubbleSize val="0"/>
            </c:dLbl>
            <c:dLbl>
              <c:idx val="17"/>
              <c:layout>
                <c:manualLayout>
                  <c:x val="-7.0409487960647393E-3"/>
                  <c:y val="-4.3252532764968946E-2"/>
                </c:manualLayout>
              </c:layout>
              <c:dLblPos val="r"/>
              <c:showLegendKey val="0"/>
              <c:showVal val="1"/>
              <c:showCatName val="0"/>
              <c:showSerName val="0"/>
              <c:showPercent val="0"/>
              <c:showBubbleSize val="0"/>
            </c:dLbl>
            <c:dLbl>
              <c:idx val="18"/>
              <c:layout>
                <c:manualLayout>
                  <c:x val="4.5384861275107853E-3"/>
                  <c:y val="-3.6122928006873202E-2"/>
                </c:manualLayout>
              </c:layout>
              <c:dLblPos val="r"/>
              <c:showLegendKey val="0"/>
              <c:showVal val="1"/>
              <c:showCatName val="0"/>
              <c:showSerName val="0"/>
              <c:showPercent val="0"/>
              <c:showBubbleSize val="0"/>
            </c:dLbl>
            <c:dLbl>
              <c:idx val="19"/>
              <c:layout>
                <c:manualLayout>
                  <c:x val="-3.1047135196161636E-2"/>
                  <c:y val="-5.3191489361702107E-2"/>
                </c:manualLayout>
              </c:layout>
              <c:showLegendKey val="0"/>
              <c:showVal val="1"/>
              <c:showCatName val="0"/>
              <c:showSerName val="0"/>
              <c:showPercent val="0"/>
              <c:showBubbleSize val="0"/>
            </c:dLbl>
            <c:dLbl>
              <c:idx val="20"/>
              <c:layout>
                <c:manualLayout>
                  <c:x val="0"/>
                  <c:y val="-3.4194528875379951E-2"/>
                </c:manualLayout>
              </c:layout>
              <c:showLegendKey val="0"/>
              <c:showVal val="1"/>
              <c:showCatName val="0"/>
              <c:showSerName val="0"/>
              <c:showPercent val="0"/>
              <c:showBubbleSize val="0"/>
            </c:dLbl>
            <c:numFmt formatCode="0.0" sourceLinked="0"/>
            <c:spPr>
              <a:noFill/>
              <a:ln w="25350">
                <a:noFill/>
              </a:ln>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Sheet1!$B$1:$V$1</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Sheet1!$B$3:$V$3</c:f>
              <c:numCache>
                <c:formatCode>General</c:formatCode>
                <c:ptCount val="21"/>
                <c:pt idx="0">
                  <c:v>71.099999999999994</c:v>
                </c:pt>
                <c:pt idx="1">
                  <c:v>55.4</c:v>
                </c:pt>
                <c:pt idx="2">
                  <c:v>132.5</c:v>
                </c:pt>
                <c:pt idx="3">
                  <c:v>104.1</c:v>
                </c:pt>
                <c:pt idx="4">
                  <c:v>70.900000000000006</c:v>
                </c:pt>
                <c:pt idx="5">
                  <c:v>112.3</c:v>
                </c:pt>
                <c:pt idx="6">
                  <c:v>104.9</c:v>
                </c:pt>
                <c:pt idx="7">
                  <c:v>99.4</c:v>
                </c:pt>
                <c:pt idx="8">
                  <c:v>72.900000000000006</c:v>
                </c:pt>
                <c:pt idx="9">
                  <c:v>101.2</c:v>
                </c:pt>
                <c:pt idx="10">
                  <c:v>100.9</c:v>
                </c:pt>
                <c:pt idx="11">
                  <c:v>114.2</c:v>
                </c:pt>
                <c:pt idx="12">
                  <c:v>111</c:v>
                </c:pt>
                <c:pt idx="13">
                  <c:v>107.4</c:v>
                </c:pt>
                <c:pt idx="14">
                  <c:v>106.9</c:v>
                </c:pt>
                <c:pt idx="15">
                  <c:v>119.9</c:v>
                </c:pt>
                <c:pt idx="16">
                  <c:v>120.3</c:v>
                </c:pt>
                <c:pt idx="17">
                  <c:v>104.2</c:v>
                </c:pt>
                <c:pt idx="18">
                  <c:v>93.1</c:v>
                </c:pt>
                <c:pt idx="19">
                  <c:v>110.1</c:v>
                </c:pt>
                <c:pt idx="20">
                  <c:v>101.7</c:v>
                </c:pt>
              </c:numCache>
            </c:numRef>
          </c:val>
          <c:smooth val="0"/>
        </c:ser>
        <c:dLbls>
          <c:showLegendKey val="0"/>
          <c:showVal val="1"/>
          <c:showCatName val="0"/>
          <c:showSerName val="0"/>
          <c:showPercent val="0"/>
          <c:showBubbleSize val="0"/>
        </c:dLbls>
        <c:marker val="1"/>
        <c:smooth val="0"/>
        <c:axId val="338306560"/>
        <c:axId val="338308096"/>
      </c:lineChart>
      <c:catAx>
        <c:axId val="337966208"/>
        <c:scaling>
          <c:orientation val="minMax"/>
        </c:scaling>
        <c:delete val="0"/>
        <c:axPos val="b"/>
        <c:numFmt formatCode="General" sourceLinked="1"/>
        <c:majorTickMark val="cross"/>
        <c:minorTickMark val="none"/>
        <c:tickLblPos val="nextTo"/>
        <c:spPr>
          <a:ln w="3169">
            <a:solidFill>
              <a:srgbClr val="000000"/>
            </a:solidFill>
            <a:prstDash val="solid"/>
          </a:ln>
        </c:spPr>
        <c:txPr>
          <a:bodyPr rot="-5400000" vert="horz"/>
          <a:lstStyle/>
          <a:p>
            <a:pPr>
              <a:spcAft>
                <a:spcPts val="1200"/>
              </a:spcAft>
              <a:defRPr sz="1100" b="0" i="0" u="none" strike="noStrike" baseline="0">
                <a:solidFill>
                  <a:srgbClr val="000000"/>
                </a:solidFill>
                <a:latin typeface="Arial"/>
                <a:ea typeface="Arial"/>
                <a:cs typeface="Arial"/>
              </a:defRPr>
            </a:pPr>
            <a:endParaRPr lang="ru-RU"/>
          </a:p>
        </c:txPr>
        <c:crossAx val="338305024"/>
        <c:crosses val="autoZero"/>
        <c:auto val="0"/>
        <c:lblAlgn val="ctr"/>
        <c:lblOffset val="100"/>
        <c:tickLblSkip val="1"/>
        <c:tickMarkSkip val="1"/>
        <c:noMultiLvlLbl val="0"/>
      </c:catAx>
      <c:valAx>
        <c:axId val="338305024"/>
        <c:scaling>
          <c:orientation val="minMax"/>
          <c:min val="0"/>
        </c:scaling>
        <c:delete val="0"/>
        <c:axPos val="l"/>
        <c:numFmt formatCode="General" sourceLinked="1"/>
        <c:majorTickMark val="cross"/>
        <c:minorTickMark val="none"/>
        <c:tickLblPos val="nextTo"/>
        <c:spPr>
          <a:ln w="126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966208"/>
        <c:crosses val="autoZero"/>
        <c:crossBetween val="between"/>
      </c:valAx>
      <c:catAx>
        <c:axId val="338306560"/>
        <c:scaling>
          <c:orientation val="minMax"/>
        </c:scaling>
        <c:delete val="1"/>
        <c:axPos val="b"/>
        <c:numFmt formatCode="General" sourceLinked="1"/>
        <c:majorTickMark val="out"/>
        <c:minorTickMark val="none"/>
        <c:tickLblPos val="nextTo"/>
        <c:crossAx val="338308096"/>
        <c:crosses val="autoZero"/>
        <c:auto val="0"/>
        <c:lblAlgn val="ctr"/>
        <c:lblOffset val="100"/>
        <c:noMultiLvlLbl val="0"/>
      </c:catAx>
      <c:valAx>
        <c:axId val="338308096"/>
        <c:scaling>
          <c:orientation val="minMax"/>
        </c:scaling>
        <c:delete val="1"/>
        <c:axPos val="l"/>
        <c:numFmt formatCode="General" sourceLinked="1"/>
        <c:majorTickMark val="out"/>
        <c:minorTickMark val="none"/>
        <c:tickLblPos val="nextTo"/>
        <c:crossAx val="338306560"/>
        <c:crosses val="autoZero"/>
        <c:crossBetween val="between"/>
      </c:valAx>
      <c:spPr>
        <a:gradFill>
          <a:gsLst>
            <a:gs pos="50000">
              <a:srgbClr val="C0504D">
                <a:lumMod val="40000"/>
                <a:lumOff val="60000"/>
                <a:alpha val="50000"/>
              </a:srgbClr>
            </a:gs>
            <a:gs pos="0">
              <a:srgbClr val="E6D78A">
                <a:alpha val="50000"/>
              </a:srgbClr>
            </a:gs>
            <a:gs pos="30000">
              <a:srgbClr val="C7AC4C">
                <a:alpha val="50000"/>
              </a:srgbClr>
            </a:gs>
            <a:gs pos="45000">
              <a:srgbClr val="E6D78A">
                <a:alpha val="50000"/>
              </a:srgbClr>
            </a:gs>
            <a:gs pos="77000">
              <a:srgbClr val="C7AC4C">
                <a:alpha val="50000"/>
              </a:srgbClr>
            </a:gs>
            <a:gs pos="100000">
              <a:srgbClr val="E6DCAC">
                <a:alpha val="50000"/>
              </a:srgbClr>
            </a:gs>
          </a:gsLst>
          <a:path path="circle">
            <a:fillToRect l="100000" t="100000"/>
          </a:path>
        </a:gradFill>
        <a:ln w="25350">
          <a:noFill/>
        </a:ln>
      </c:spPr>
    </c:plotArea>
    <c:legend>
      <c:legendPos val="b"/>
      <c:legendEntry>
        <c:idx val="0"/>
        <c:txPr>
          <a:bodyPr/>
          <a:lstStyle/>
          <a:p>
            <a:pPr>
              <a:defRPr sz="1200" b="0" i="0" u="none" strike="noStrike" baseline="0">
                <a:solidFill>
                  <a:srgbClr val="000000"/>
                </a:solidFill>
                <a:latin typeface="Arial"/>
                <a:ea typeface="Arial"/>
                <a:cs typeface="Arial"/>
              </a:defRPr>
            </a:pPr>
            <a:endParaRPr lang="ru-RU"/>
          </a:p>
        </c:txPr>
      </c:legendEntry>
      <c:legendEntry>
        <c:idx val="1"/>
        <c:txPr>
          <a:bodyPr/>
          <a:lstStyle/>
          <a:p>
            <a:pPr>
              <a:defRPr sz="1200" b="0" i="0" u="none" strike="noStrike" baseline="0">
                <a:solidFill>
                  <a:srgbClr val="000000"/>
                </a:solidFill>
                <a:latin typeface="Arial"/>
                <a:ea typeface="Arial"/>
                <a:cs typeface="Arial"/>
              </a:defRPr>
            </a:pPr>
            <a:endParaRPr lang="ru-RU"/>
          </a:p>
        </c:txPr>
      </c:legendEntry>
      <c:layout>
        <c:manualLayout>
          <c:xMode val="edge"/>
          <c:yMode val="edge"/>
          <c:x val="7.608126037589924E-2"/>
          <c:y val="0.91539920541847952"/>
          <c:w val="0.86456692913385758"/>
          <c:h val="8.1784386617100371E-2"/>
        </c:manualLayout>
      </c:layout>
      <c:overlay val="0"/>
      <c:spPr>
        <a:solidFill>
          <a:srgbClr val="FFFFFF"/>
        </a:solidFill>
        <a:ln w="3169">
          <a:noFill/>
          <a:prstDash val="solid"/>
        </a:ln>
      </c:spPr>
      <c:txPr>
        <a:bodyPr/>
        <a:lstStyle/>
        <a:p>
          <a:pPr>
            <a:defRPr sz="1008"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FFFF"/>
    </a:solidFill>
    <a:ln w="38100" cap="flat" cmpd="dbl" algn="ctr">
      <a:solidFill>
        <a:srgbClr val="000000"/>
      </a:solidFill>
      <a:prstDash val="solid"/>
      <a:miter lim="800000"/>
      <a:headEnd type="none" w="med" len="med"/>
      <a:tailEnd type="none" w="med" len="med"/>
    </a:ln>
  </c:spPr>
  <c:txPr>
    <a:bodyPr/>
    <a:lstStyle/>
    <a:p>
      <a:pPr>
        <a:defRPr sz="998" b="0" i="0" u="none" strike="noStrike" baseline="0">
          <a:solidFill>
            <a:srgbClr val="000000"/>
          </a:solidFill>
          <a:latin typeface="Arial"/>
          <a:ea typeface="Arial"/>
          <a:cs typeface="Arial"/>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rgbClr val="C0C0C0"/>
        </a:solidFill>
        <a:ln w="3175">
          <a:solidFill>
            <a:srgbClr val="000000"/>
          </a:solidFill>
          <a:prstDash val="solid"/>
        </a:ln>
      </c:spPr>
    </c:floor>
    <c:sideWall>
      <c:thickness val="0"/>
      <c:spPr>
        <a:blipFill dpi="0" rotWithShape="1">
          <a:blip xmlns:r="http://schemas.openxmlformats.org/officeDocument/2006/relationships" r:embed="rId1"/>
          <a:srcRect/>
          <a:stretch>
            <a:fillRect t="-25000" b="-22000"/>
          </a:stretch>
        </a:blipFill>
        <a:ln w="25400">
          <a:noFill/>
        </a:ln>
      </c:spPr>
    </c:sideWall>
    <c:backWall>
      <c:thickness val="0"/>
      <c:spPr>
        <a:blipFill dpi="0" rotWithShape="1">
          <a:blip xmlns:r="http://schemas.openxmlformats.org/officeDocument/2006/relationships" r:embed="rId1"/>
          <a:srcRect/>
          <a:stretch>
            <a:fillRect t="-25000" b="-22000"/>
          </a:stretch>
        </a:blipFill>
        <a:ln w="25400">
          <a:noFill/>
        </a:ln>
      </c:spPr>
    </c:backWall>
    <c:plotArea>
      <c:layout>
        <c:manualLayout>
          <c:layoutTarget val="inner"/>
          <c:xMode val="edge"/>
          <c:yMode val="edge"/>
          <c:x val="5.7902973395932124E-2"/>
          <c:y val="7.6233183856502323E-2"/>
          <c:w val="0.94209702660408357"/>
          <c:h val="0.76233183856503295"/>
        </c:manualLayout>
      </c:layout>
      <c:bar3DChart>
        <c:barDir val="col"/>
        <c:grouping val="clustered"/>
        <c:varyColors val="0"/>
        <c:ser>
          <c:idx val="0"/>
          <c:order val="0"/>
          <c:tx>
            <c:strRef>
              <c:f>Sheet1!$A$2</c:f>
              <c:strCache>
                <c:ptCount val="1"/>
              </c:strCache>
            </c:strRef>
          </c:tx>
          <c:spPr>
            <a:solidFill>
              <a:schemeClr val="accent2">
                <a:lumMod val="40000"/>
                <a:lumOff val="60000"/>
                <a:alpha val="97000"/>
              </a:schemeClr>
            </a:solidFill>
            <a:ln w="12663">
              <a:solidFill>
                <a:srgbClr val="000000"/>
              </a:solidFill>
              <a:prstDash val="solid"/>
            </a:ln>
          </c:spPr>
          <c:invertIfNegative val="0"/>
          <c:dLbls>
            <c:dLbl>
              <c:idx val="0"/>
              <c:layout>
                <c:manualLayout>
                  <c:x val="1.106538239907966E-2"/>
                  <c:y val="-1.489411941000022E-2"/>
                </c:manualLayout>
              </c:layout>
              <c:showLegendKey val="0"/>
              <c:showVal val="1"/>
              <c:showCatName val="0"/>
              <c:showSerName val="0"/>
              <c:showPercent val="0"/>
              <c:showBubbleSize val="0"/>
            </c:dLbl>
            <c:dLbl>
              <c:idx val="1"/>
              <c:layout>
                <c:manualLayout>
                  <c:x val="1.4709077617119355E-2"/>
                  <c:y val="-1.1474880339084724E-2"/>
                </c:manualLayout>
              </c:layout>
              <c:showLegendKey val="0"/>
              <c:showVal val="1"/>
              <c:showCatName val="0"/>
              <c:showSerName val="0"/>
              <c:showPercent val="0"/>
              <c:showBubbleSize val="0"/>
            </c:dLbl>
            <c:dLbl>
              <c:idx val="2"/>
              <c:layout>
                <c:manualLayout>
                  <c:x val="8.9629398559280451E-3"/>
                  <c:y val="-1.4539097456060293E-2"/>
                </c:manualLayout>
              </c:layout>
              <c:showLegendKey val="0"/>
              <c:showVal val="1"/>
              <c:showCatName val="0"/>
              <c:showSerName val="0"/>
              <c:showPercent val="0"/>
              <c:showBubbleSize val="0"/>
            </c:dLbl>
            <c:dLbl>
              <c:idx val="3"/>
              <c:layout>
                <c:manualLayout>
                  <c:x val="1.4171418683155121E-2"/>
                  <c:y val="-1.9408469322564806E-2"/>
                </c:manualLayout>
              </c:layout>
              <c:showLegendKey val="0"/>
              <c:showVal val="1"/>
              <c:showCatName val="0"/>
              <c:showSerName val="0"/>
              <c:showPercent val="0"/>
              <c:showBubbleSize val="0"/>
            </c:dLbl>
            <c:dLbl>
              <c:idx val="4"/>
              <c:layout>
                <c:manualLayout>
                  <c:x val="8.8516262142806362E-3"/>
                  <c:y val="-1.2871227210372581E-2"/>
                </c:manualLayout>
              </c:layout>
              <c:showLegendKey val="0"/>
              <c:showVal val="1"/>
              <c:showCatName val="0"/>
              <c:showSerName val="0"/>
              <c:showPercent val="0"/>
              <c:showBubbleSize val="0"/>
            </c:dLbl>
            <c:dLbl>
              <c:idx val="5"/>
              <c:layout>
                <c:manualLayout>
                  <c:x val="1.4060266659236754E-2"/>
                  <c:y val="-1.6386001495359521E-2"/>
                </c:manualLayout>
              </c:layout>
              <c:showLegendKey val="0"/>
              <c:showVal val="1"/>
              <c:showCatName val="0"/>
              <c:showSerName val="0"/>
              <c:showPercent val="0"/>
              <c:showBubbleSize val="0"/>
            </c:dLbl>
            <c:dLbl>
              <c:idx val="6"/>
              <c:layout>
                <c:manualLayout>
                  <c:x val="1.414756451339663E-2"/>
                  <c:y val="-1.5093968070597699E-2"/>
                </c:manualLayout>
              </c:layout>
              <c:showLegendKey val="0"/>
              <c:showVal val="1"/>
              <c:showCatName val="0"/>
              <c:showSerName val="0"/>
              <c:showPercent val="0"/>
              <c:showBubbleSize val="0"/>
            </c:dLbl>
            <c:dLbl>
              <c:idx val="7"/>
              <c:layout>
                <c:manualLayout>
                  <c:x val="1.309642405068478E-2"/>
                  <c:y val="-7.3756423401184134E-3"/>
                </c:manualLayout>
              </c:layout>
              <c:showLegendKey val="0"/>
              <c:showVal val="1"/>
              <c:showCatName val="0"/>
              <c:showSerName val="0"/>
              <c:showPercent val="0"/>
              <c:showBubbleSize val="0"/>
            </c:dLbl>
            <c:dLbl>
              <c:idx val="8"/>
              <c:layout>
                <c:manualLayout>
                  <c:x val="4.2203958356591504E-3"/>
                  <c:y val="-1.8059723896017461E-2"/>
                </c:manualLayout>
              </c:layout>
              <c:showLegendKey val="0"/>
              <c:showVal val="1"/>
              <c:showCatName val="0"/>
              <c:showSerName val="0"/>
              <c:showPercent val="0"/>
              <c:showBubbleSize val="0"/>
            </c:dLbl>
            <c:dLbl>
              <c:idx val="9"/>
              <c:layout>
                <c:manualLayout>
                  <c:x val="3.1690937552189846E-3"/>
                  <c:y val="-1.9575346925848155E-2"/>
                </c:manualLayout>
              </c:layout>
              <c:showLegendKey val="0"/>
              <c:showVal val="1"/>
              <c:showCatName val="0"/>
              <c:showSerName val="0"/>
              <c:showPercent val="0"/>
              <c:showBubbleSize val="0"/>
            </c:dLbl>
            <c:dLbl>
              <c:idx val="10"/>
              <c:layout>
                <c:manualLayout>
                  <c:x val="7.2389726478466424E-3"/>
                  <c:y val="-3.2873088430712252E-2"/>
                </c:manualLayout>
              </c:layout>
              <c:showLegendKey val="0"/>
              <c:showVal val="1"/>
              <c:showCatName val="0"/>
              <c:showSerName val="0"/>
              <c:showPercent val="0"/>
              <c:showBubbleSize val="0"/>
            </c:dLbl>
            <c:dLbl>
              <c:idx val="11"/>
              <c:layout>
                <c:manualLayout>
                  <c:x val="5.7614868928170804E-3"/>
                  <c:y val="2.8161327579999899E-3"/>
                </c:manualLayout>
              </c:layout>
              <c:showLegendKey val="0"/>
              <c:showVal val="1"/>
              <c:showCatName val="0"/>
              <c:showSerName val="0"/>
              <c:showPercent val="0"/>
              <c:showBubbleSize val="0"/>
            </c:dLbl>
            <c:dLbl>
              <c:idx val="12"/>
              <c:layout>
                <c:manualLayout>
                  <c:x val="9.4050204931280766E-3"/>
                  <c:y val="-7.8975418973411902E-3"/>
                </c:manualLayout>
              </c:layout>
              <c:showLegendKey val="0"/>
              <c:showVal val="1"/>
              <c:showCatName val="0"/>
              <c:showSerName val="0"/>
              <c:showPercent val="0"/>
              <c:showBubbleSize val="0"/>
            </c:dLbl>
            <c:dLbl>
              <c:idx val="13"/>
              <c:layout>
                <c:manualLayout>
                  <c:x val="6.7889348034992714E-3"/>
                  <c:y val="-9.0285498737900528E-3"/>
                </c:manualLayout>
              </c:layout>
              <c:showLegendKey val="0"/>
              <c:showVal val="1"/>
              <c:showCatName val="0"/>
              <c:showSerName val="0"/>
              <c:showPercent val="0"/>
              <c:showBubbleSize val="0"/>
            </c:dLbl>
            <c:dLbl>
              <c:idx val="14"/>
              <c:layout>
                <c:manualLayout>
                  <c:x val="1.4691423346246061E-3"/>
                  <c:y val="-2.2421826592725458E-2"/>
                </c:manualLayout>
              </c:layout>
              <c:numFmt formatCode="0.0" sourceLinked="0"/>
              <c:spPr>
                <a:noFill/>
                <a:ln w="25326">
                  <a:noFill/>
                </a:ln>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dLbl>
            <c:dLbl>
              <c:idx val="15"/>
              <c:layout>
                <c:manualLayout>
                  <c:x val="6.6776211618522442E-3"/>
                  <c:y val="-1.423167694686104E-2"/>
                </c:manualLayout>
              </c:layout>
              <c:showLegendKey val="0"/>
              <c:showVal val="1"/>
              <c:showCatName val="0"/>
              <c:showSerName val="0"/>
              <c:showPercent val="0"/>
              <c:showBubbleSize val="0"/>
            </c:dLbl>
            <c:dLbl>
              <c:idx val="16"/>
              <c:layout>
                <c:manualLayout>
                  <c:x val="1.0321154762163626E-2"/>
                  <c:y val="-2.1520712256703402E-2"/>
                </c:manualLayout>
              </c:layout>
              <c:showLegendKey val="0"/>
              <c:showVal val="1"/>
              <c:showCatName val="0"/>
              <c:showSerName val="0"/>
              <c:showPercent val="0"/>
              <c:showBubbleSize val="0"/>
            </c:dLbl>
            <c:dLbl>
              <c:idx val="17"/>
              <c:layout>
                <c:manualLayout>
                  <c:x val="5.7137785533001983E-3"/>
                  <c:y val="-2.8382931343006037E-2"/>
                </c:manualLayout>
              </c:layout>
              <c:showLegendKey val="0"/>
              <c:showVal val="1"/>
              <c:showCatName val="0"/>
              <c:showSerName val="0"/>
              <c:showPercent val="0"/>
              <c:showBubbleSize val="0"/>
            </c:dLbl>
            <c:spPr>
              <a:noFill/>
              <a:ln w="25326">
                <a:noFill/>
              </a:ln>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Sheet1!$B$1:$U$1</c:f>
              <c:numCache>
                <c:formatCode>General</c:formatCode>
                <c:ptCount val="20"/>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numCache>
            </c:numRef>
          </c:cat>
          <c:val>
            <c:numRef>
              <c:f>Sheet1!$B$2:$U$2</c:f>
              <c:numCache>
                <c:formatCode>General</c:formatCode>
                <c:ptCount val="20"/>
                <c:pt idx="0">
                  <c:v>68.2</c:v>
                </c:pt>
                <c:pt idx="1">
                  <c:v>70.599999999999994</c:v>
                </c:pt>
                <c:pt idx="2">
                  <c:v>67.400000000000006</c:v>
                </c:pt>
                <c:pt idx="3">
                  <c:v>56.9</c:v>
                </c:pt>
                <c:pt idx="4">
                  <c:v>112.9</c:v>
                </c:pt>
                <c:pt idx="5">
                  <c:v>104.4</c:v>
                </c:pt>
                <c:pt idx="6">
                  <c:v>97.7</c:v>
                </c:pt>
                <c:pt idx="7">
                  <c:v>60.1</c:v>
                </c:pt>
                <c:pt idx="8">
                  <c:v>86.7</c:v>
                </c:pt>
                <c:pt idx="9">
                  <c:v>83.8</c:v>
                </c:pt>
                <c:pt idx="10">
                  <c:v>112.5</c:v>
                </c:pt>
                <c:pt idx="11">
                  <c:v>72.5</c:v>
                </c:pt>
                <c:pt idx="12">
                  <c:v>87.8</c:v>
                </c:pt>
                <c:pt idx="13">
                  <c:v>95.4</c:v>
                </c:pt>
                <c:pt idx="14">
                  <c:v>118</c:v>
                </c:pt>
                <c:pt idx="15">
                  <c:v>138.69999999999999</c:v>
                </c:pt>
                <c:pt idx="16">
                  <c:v>128.6</c:v>
                </c:pt>
                <c:pt idx="17">
                  <c:v>84.7</c:v>
                </c:pt>
                <c:pt idx="18">
                  <c:v>115.4</c:v>
                </c:pt>
                <c:pt idx="19">
                  <c:v>115.7</c:v>
                </c:pt>
              </c:numCache>
            </c:numRef>
          </c:val>
        </c:ser>
        <c:dLbls>
          <c:showLegendKey val="0"/>
          <c:showVal val="1"/>
          <c:showCatName val="0"/>
          <c:showSerName val="0"/>
          <c:showPercent val="0"/>
          <c:showBubbleSize val="0"/>
        </c:dLbls>
        <c:gapWidth val="150"/>
        <c:gapDepth val="0"/>
        <c:shape val="box"/>
        <c:axId val="338545664"/>
        <c:axId val="338600704"/>
        <c:axId val="0"/>
      </c:bar3DChart>
      <c:catAx>
        <c:axId val="338545664"/>
        <c:scaling>
          <c:orientation val="minMax"/>
        </c:scaling>
        <c:delete val="0"/>
        <c:axPos val="b"/>
        <c:numFmt formatCode="General" sourceLinked="1"/>
        <c:majorTickMark val="out"/>
        <c:minorTickMark val="none"/>
        <c:tickLblPos val="low"/>
        <c:spPr>
          <a:ln w="3166">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8600704"/>
        <c:crosses val="autoZero"/>
        <c:auto val="1"/>
        <c:lblAlgn val="ctr"/>
        <c:lblOffset val="100"/>
        <c:tickLblSkip val="2"/>
        <c:tickMarkSkip val="1"/>
        <c:noMultiLvlLbl val="0"/>
      </c:catAx>
      <c:valAx>
        <c:axId val="338600704"/>
        <c:scaling>
          <c:orientation val="minMax"/>
          <c:min val="40"/>
        </c:scaling>
        <c:delete val="0"/>
        <c:axPos val="l"/>
        <c:numFmt formatCode="General" sourceLinked="1"/>
        <c:majorTickMark val="out"/>
        <c:minorTickMark val="none"/>
        <c:tickLblPos val="nextTo"/>
        <c:spPr>
          <a:ln w="3166">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8545664"/>
        <c:crosses val="autoZero"/>
        <c:crossBetween val="between"/>
      </c:valAx>
      <c:spPr>
        <a:noFill/>
        <a:ln w="25326">
          <a:noFill/>
        </a:ln>
      </c:spPr>
    </c:plotArea>
    <c:plotVisOnly val="1"/>
    <c:dispBlanksAs val="gap"/>
    <c:showDLblsOverMax val="0"/>
  </c:chart>
  <c:spPr>
    <a:solidFill>
      <a:srgbClr val="FFFFFF"/>
    </a:solidFill>
    <a:ln w="38100" cap="flat" cmpd="dbl" algn="ctr">
      <a:solidFill>
        <a:srgbClr val="000000"/>
      </a:solidFill>
      <a:prstDash val="solid"/>
      <a:miter lim="800000"/>
      <a:headEnd type="none" w="med" len="med"/>
      <a:tailEnd type="none" w="med" len="med"/>
    </a:ln>
  </c:spPr>
  <c:txPr>
    <a:bodyPr/>
    <a:lstStyle/>
    <a:p>
      <a:pPr>
        <a:defRPr sz="972"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498293515358822E-2"/>
          <c:y val="9.7721845642265728E-2"/>
          <c:w val="0.86689419795221845"/>
          <c:h val="0.61080148661090283"/>
        </c:manualLayout>
      </c:layout>
      <c:barChart>
        <c:barDir val="col"/>
        <c:grouping val="clustered"/>
        <c:varyColors val="0"/>
        <c:ser>
          <c:idx val="0"/>
          <c:order val="0"/>
          <c:tx>
            <c:strRef>
              <c:f>Лист1!$B$1</c:f>
              <c:strCache>
                <c:ptCount val="1"/>
                <c:pt idx="0">
                  <c:v>число обследованных организаций</c:v>
                </c:pt>
              </c:strCache>
            </c:strRef>
          </c:tx>
          <c:spPr>
            <a:gradFill flip="none" rotWithShape="1">
              <a:gsLst>
                <a:gs pos="0">
                  <a:srgbClr val="1F497D">
                    <a:lumMod val="60000"/>
                    <a:lumOff val="40000"/>
                  </a:srgbClr>
                </a:gs>
                <a:gs pos="53000">
                  <a:srgbClr val="D4DEFF"/>
                </a:gs>
                <a:gs pos="83000">
                  <a:srgbClr val="D4DEFF"/>
                </a:gs>
                <a:gs pos="100000">
                  <a:srgbClr val="1F497D">
                    <a:lumMod val="40000"/>
                    <a:lumOff val="60000"/>
                  </a:srgbClr>
                </a:gs>
              </a:gsLst>
              <a:path path="circle">
                <a:fillToRect t="100000" r="100000"/>
              </a:path>
              <a:tileRect l="-100000" b="-100000"/>
            </a:gradFill>
            <a:ln w="15875" cap="rnd" cmpd="tri">
              <a:solidFill>
                <a:srgbClr val="1F497D">
                  <a:lumMod val="60000"/>
                  <a:lumOff val="40000"/>
                </a:srgbClr>
              </a:solidFill>
              <a:prstDash val="lgDash"/>
              <a:bevel/>
            </a:ln>
            <a:effectLst>
              <a:outerShdw blurRad="50800" dist="38100" dir="18900000" algn="bl" rotWithShape="0">
                <a:prstClr val="black">
                  <a:alpha val="40000"/>
                </a:prstClr>
              </a:outerShdw>
            </a:effectLst>
            <a:scene3d>
              <a:camera prst="orthographicFront"/>
              <a:lightRig rig="glow" dir="t"/>
            </a:scene3d>
            <a:sp3d>
              <a:bevelT/>
              <a:bevelB/>
            </a:sp3d>
          </c:spPr>
          <c:invertIfNegative val="0"/>
          <c:cat>
            <c:numRef>
              <c:f>Лист1!$A$2:$A$5</c:f>
              <c:numCache>
                <c:formatCode>General</c:formatCode>
                <c:ptCount val="4"/>
                <c:pt idx="0">
                  <c:v>2002</c:v>
                </c:pt>
                <c:pt idx="1">
                  <c:v>2005</c:v>
                </c:pt>
                <c:pt idx="2">
                  <c:v>2010</c:v>
                </c:pt>
                <c:pt idx="3">
                  <c:v>2011</c:v>
                </c:pt>
              </c:numCache>
            </c:numRef>
          </c:cat>
          <c:val>
            <c:numRef>
              <c:f>Лист1!$B$2:$B$5</c:f>
              <c:numCache>
                <c:formatCode>General</c:formatCode>
                <c:ptCount val="4"/>
                <c:pt idx="0">
                  <c:v>1820</c:v>
                </c:pt>
                <c:pt idx="1">
                  <c:v>1994</c:v>
                </c:pt>
                <c:pt idx="2">
                  <c:v>1757</c:v>
                </c:pt>
                <c:pt idx="3">
                  <c:v>1726</c:v>
                </c:pt>
              </c:numCache>
            </c:numRef>
          </c:val>
        </c:ser>
        <c:dLbls>
          <c:showLegendKey val="0"/>
          <c:showVal val="0"/>
          <c:showCatName val="0"/>
          <c:showSerName val="0"/>
          <c:showPercent val="0"/>
          <c:showBubbleSize val="0"/>
        </c:dLbls>
        <c:gapWidth val="160"/>
        <c:overlap val="-57"/>
        <c:axId val="359637760"/>
        <c:axId val="359639680"/>
      </c:barChart>
      <c:lineChart>
        <c:grouping val="standard"/>
        <c:varyColors val="0"/>
        <c:ser>
          <c:idx val="1"/>
          <c:order val="1"/>
          <c:tx>
            <c:strRef>
              <c:f>Лист1!$C$1</c:f>
              <c:strCache>
                <c:ptCount val="1"/>
                <c:pt idx="0">
                  <c:v>число организаций, использующих компьютеры</c:v>
                </c:pt>
              </c:strCache>
            </c:strRef>
          </c:tx>
          <c:spPr>
            <a:ln>
              <a:gradFill flip="none" rotWithShape="1">
                <a:gsLst>
                  <a:gs pos="0">
                    <a:srgbClr val="FFF200"/>
                  </a:gs>
                  <a:gs pos="45000">
                    <a:srgbClr val="FF7A00"/>
                  </a:gs>
                  <a:gs pos="70000">
                    <a:srgbClr val="FF0300"/>
                  </a:gs>
                  <a:gs pos="100000">
                    <a:srgbClr val="4D0808"/>
                  </a:gs>
                </a:gsLst>
                <a:lin ang="10800000" scaled="1"/>
                <a:tileRect/>
              </a:gradFill>
            </a:ln>
          </c:spPr>
          <c:marker>
            <c:spPr>
              <a:gradFill>
                <a:gsLst>
                  <a:gs pos="0">
                    <a:srgbClr val="D6B19C"/>
                  </a:gs>
                  <a:gs pos="30000">
                    <a:srgbClr val="D49E6C"/>
                  </a:gs>
                  <a:gs pos="70000">
                    <a:srgbClr val="A65528"/>
                  </a:gs>
                  <a:gs pos="100000">
                    <a:srgbClr val="663012"/>
                  </a:gs>
                </a:gsLst>
                <a:lin ang="10800000" scaled="0"/>
              </a:gradFill>
            </c:spPr>
          </c:marker>
          <c:cat>
            <c:numRef>
              <c:f>Лист1!$A$2:$A$5</c:f>
              <c:numCache>
                <c:formatCode>General</c:formatCode>
                <c:ptCount val="4"/>
                <c:pt idx="0">
                  <c:v>2002</c:v>
                </c:pt>
                <c:pt idx="1">
                  <c:v>2005</c:v>
                </c:pt>
                <c:pt idx="2">
                  <c:v>2010</c:v>
                </c:pt>
                <c:pt idx="3">
                  <c:v>2011</c:v>
                </c:pt>
              </c:numCache>
            </c:numRef>
          </c:cat>
          <c:val>
            <c:numRef>
              <c:f>Лист1!$C$2:$C$5</c:f>
              <c:numCache>
                <c:formatCode>General</c:formatCode>
                <c:ptCount val="4"/>
                <c:pt idx="0">
                  <c:v>1100</c:v>
                </c:pt>
                <c:pt idx="1">
                  <c:v>1565</c:v>
                </c:pt>
                <c:pt idx="2">
                  <c:v>1592</c:v>
                </c:pt>
                <c:pt idx="3">
                  <c:v>1572</c:v>
                </c:pt>
              </c:numCache>
            </c:numRef>
          </c:val>
          <c:smooth val="0"/>
        </c:ser>
        <c:dLbls>
          <c:showLegendKey val="0"/>
          <c:showVal val="0"/>
          <c:showCatName val="0"/>
          <c:showSerName val="0"/>
          <c:showPercent val="0"/>
          <c:showBubbleSize val="0"/>
        </c:dLbls>
        <c:marker val="1"/>
        <c:smooth val="0"/>
        <c:axId val="359637760"/>
        <c:axId val="359639680"/>
      </c:lineChart>
      <c:catAx>
        <c:axId val="359637760"/>
        <c:scaling>
          <c:orientation val="minMax"/>
        </c:scaling>
        <c:delete val="0"/>
        <c:axPos val="b"/>
        <c:numFmt formatCode="General" sourceLinked="1"/>
        <c:majorTickMark val="none"/>
        <c:minorTickMark val="none"/>
        <c:tickLblPos val="nextTo"/>
        <c:txPr>
          <a:bodyPr rot="0" vert="horz"/>
          <a:lstStyle/>
          <a:p>
            <a:pPr>
              <a:defRPr sz="1100" b="0" i="0" baseline="0">
                <a:latin typeface="Arial" pitchFamily="34" charset="0"/>
                <a:cs typeface="Arial" pitchFamily="34" charset="0"/>
              </a:defRPr>
            </a:pPr>
            <a:endParaRPr lang="ru-RU"/>
          </a:p>
        </c:txPr>
        <c:crossAx val="359639680"/>
        <c:crosses val="autoZero"/>
        <c:auto val="1"/>
        <c:lblAlgn val="ctr"/>
        <c:lblOffset val="100"/>
        <c:noMultiLvlLbl val="0"/>
      </c:catAx>
      <c:valAx>
        <c:axId val="359639680"/>
        <c:scaling>
          <c:orientation val="minMax"/>
          <c:min val="900"/>
        </c:scaling>
        <c:delete val="0"/>
        <c:axPos val="l"/>
        <c:majorGridlines/>
        <c:numFmt formatCode="General" sourceLinked="1"/>
        <c:majorTickMark val="none"/>
        <c:minorTickMark val="none"/>
        <c:tickLblPos val="nextTo"/>
        <c:txPr>
          <a:bodyPr rot="0" vert="horz"/>
          <a:lstStyle/>
          <a:p>
            <a:pPr>
              <a:defRPr sz="1100" b="0" i="0" baseline="0">
                <a:latin typeface="Arial" pitchFamily="34" charset="0"/>
                <a:cs typeface="Arial" pitchFamily="34" charset="0"/>
              </a:defRPr>
            </a:pPr>
            <a:endParaRPr lang="ru-RU"/>
          </a:p>
        </c:txPr>
        <c:crossAx val="359637760"/>
        <c:crosses val="autoZero"/>
        <c:crossBetween val="between"/>
        <c:majorUnit val="300"/>
      </c:valAx>
      <c:spPr>
        <a:effectLst/>
      </c:spPr>
    </c:plotArea>
    <c:legend>
      <c:legendPos val="b"/>
      <c:legendEntry>
        <c:idx val="1"/>
        <c:txPr>
          <a:bodyPr/>
          <a:lstStyle/>
          <a:p>
            <a:pPr>
              <a:spcAft>
                <a:spcPts val="1800"/>
              </a:spcAft>
              <a:defRPr sz="1200" b="0" i="0" baseline="0">
                <a:latin typeface="Arial" pitchFamily="34" charset="0"/>
                <a:cs typeface="Arial" pitchFamily="34" charset="0"/>
              </a:defRPr>
            </a:pPr>
            <a:endParaRPr lang="ru-RU"/>
          </a:p>
        </c:txPr>
      </c:legendEntry>
      <c:layout>
        <c:manualLayout>
          <c:xMode val="edge"/>
          <c:yMode val="edge"/>
          <c:x val="7.2454274562397336E-2"/>
          <c:y val="0.84184972913883982"/>
          <c:w val="0.79676931782448024"/>
          <c:h val="0.15447438942137737"/>
        </c:manualLayout>
      </c:layout>
      <c:overlay val="0"/>
      <c:txPr>
        <a:bodyPr/>
        <a:lstStyle/>
        <a:p>
          <a:pPr>
            <a:spcAft>
              <a:spcPts val="1200"/>
            </a:spcAft>
            <a:defRPr sz="1200" b="0" i="0" baseline="0">
              <a:latin typeface="Arial" pitchFamily="34" charset="0"/>
              <a:cs typeface="Arial" pitchFamily="34" charset="0"/>
            </a:defRPr>
          </a:pPr>
          <a:endParaRPr lang="ru-RU"/>
        </a:p>
      </c:txPr>
    </c:legend>
    <c:plotVisOnly val="1"/>
    <c:dispBlanksAs val="gap"/>
    <c:showDLblsOverMax val="0"/>
  </c:chart>
  <c:spPr>
    <a:ln w="9525" cmpd="dbl">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20"/>
      <c:rotY val="300"/>
      <c:rAngAx val="0"/>
      <c:perspective val="0"/>
    </c:view3D>
    <c:floor>
      <c:thickness val="0"/>
    </c:floor>
    <c:sideWall>
      <c:thickness val="0"/>
    </c:sideWall>
    <c:backWall>
      <c:thickness val="0"/>
    </c:backWall>
    <c:plotArea>
      <c:layout>
        <c:manualLayout>
          <c:layoutTarget val="inner"/>
          <c:xMode val="edge"/>
          <c:yMode val="edge"/>
          <c:x val="1.813992684698186E-2"/>
          <c:y val="8.7593802055732764E-2"/>
          <c:w val="0.98186007315301815"/>
          <c:h val="0.75706752180500259"/>
        </c:manualLayout>
      </c:layout>
      <c:pie3DChart>
        <c:varyColors val="1"/>
        <c:ser>
          <c:idx val="0"/>
          <c:order val="0"/>
          <c:tx>
            <c:strRef>
              <c:f>Лист1!$B$1</c:f>
              <c:strCache>
                <c:ptCount val="1"/>
                <c:pt idx="0">
                  <c:v>Продажи</c:v>
                </c:pt>
              </c:strCache>
            </c:strRef>
          </c:tx>
          <c:explosion val="25"/>
          <c:dPt>
            <c:idx val="0"/>
            <c:bubble3D val="0"/>
            <c:explosion val="38"/>
            <c:spPr>
              <a:solidFill>
                <a:schemeClr val="accent1">
                  <a:lumMod val="20000"/>
                  <a:lumOff val="80000"/>
                </a:schemeClr>
              </a:solidFill>
            </c:spPr>
          </c:dPt>
          <c:dPt>
            <c:idx val="1"/>
            <c:bubble3D val="0"/>
            <c:explosion val="42"/>
            <c:spPr>
              <a:solidFill>
                <a:srgbClr val="FDD1F8"/>
              </a:solidFill>
            </c:spPr>
          </c:dPt>
          <c:dPt>
            <c:idx val="2"/>
            <c:bubble3D val="0"/>
            <c:explosion val="14"/>
            <c:spPr>
              <a:solidFill>
                <a:schemeClr val="tx2">
                  <a:lumMod val="60000"/>
                  <a:lumOff val="40000"/>
                </a:schemeClr>
              </a:solidFill>
            </c:spPr>
          </c:dPt>
          <c:dPt>
            <c:idx val="3"/>
            <c:bubble3D val="0"/>
            <c:explosion val="27"/>
            <c:spPr>
              <a:solidFill>
                <a:srgbClr val="FF0000"/>
              </a:solidFill>
            </c:spPr>
          </c:dPt>
          <c:dPt>
            <c:idx val="4"/>
            <c:bubble3D val="0"/>
            <c:explosion val="69"/>
          </c:dPt>
          <c:dPt>
            <c:idx val="5"/>
            <c:bubble3D val="0"/>
            <c:explosion val="58"/>
            <c:spPr>
              <a:solidFill>
                <a:srgbClr val="00B0F0"/>
              </a:solidFill>
            </c:spPr>
          </c:dPt>
          <c:dPt>
            <c:idx val="6"/>
            <c:bubble3D val="0"/>
            <c:spPr>
              <a:solidFill>
                <a:schemeClr val="accent6">
                  <a:lumMod val="60000"/>
                  <a:lumOff val="40000"/>
                </a:schemeClr>
              </a:solidFill>
            </c:spPr>
          </c:dPt>
          <c:dLbls>
            <c:dLbl>
              <c:idx val="0"/>
              <c:layout>
                <c:manualLayout>
                  <c:x val="0.2145684158712847"/>
                  <c:y val="3.7719299114041982E-2"/>
                </c:manualLayout>
              </c:layout>
              <c:tx>
                <c:rich>
                  <a:bodyPr/>
                  <a:lstStyle/>
                  <a:p>
                    <a:r>
                      <a:rPr lang="ru-RU" sz="1000" baseline="0"/>
                      <a:t>государственная собственность</a:t>
                    </a:r>
                    <a:br>
                      <a:rPr lang="ru-RU" sz="1000" baseline="0"/>
                    </a:br>
                    <a:r>
                      <a:rPr lang="en-US" sz="1000" baseline="0"/>
                      <a:t>28</a:t>
                    </a:r>
                    <a:r>
                      <a:rPr lang="ru-RU" sz="1000" baseline="0"/>
                      <a:t>.</a:t>
                    </a:r>
                    <a:r>
                      <a:rPr lang="en-US" sz="1000" baseline="0"/>
                      <a:t>8</a:t>
                    </a:r>
                    <a:r>
                      <a:rPr lang="ru-RU" sz="1000" baseline="0"/>
                      <a:t>%</a:t>
                    </a:r>
                  </a:p>
                </c:rich>
              </c:tx>
              <c:showLegendKey val="0"/>
              <c:showVal val="1"/>
              <c:showCatName val="1"/>
              <c:showSerName val="0"/>
              <c:showPercent val="0"/>
              <c:showBubbleSize val="0"/>
            </c:dLbl>
            <c:dLbl>
              <c:idx val="1"/>
              <c:layout>
                <c:manualLayout>
                  <c:x val="6.1076388888888888E-2"/>
                  <c:y val="-0.12777371578552682"/>
                </c:manualLayout>
              </c:layout>
              <c:tx>
                <c:rich>
                  <a:bodyPr/>
                  <a:lstStyle/>
                  <a:p>
                    <a:r>
                      <a:rPr lang="ru-RU" sz="1000" baseline="0"/>
                      <a:t>муниципальная собственность </a:t>
                    </a:r>
                    <a:r>
                      <a:rPr lang="en-US" sz="1000" baseline="0"/>
                      <a:t>45.3</a:t>
                    </a:r>
                    <a:r>
                      <a:rPr lang="ru-RU" sz="1000" baseline="0"/>
                      <a:t>%</a:t>
                    </a:r>
                  </a:p>
                </c:rich>
              </c:tx>
              <c:showLegendKey val="0"/>
              <c:showVal val="1"/>
              <c:showCatName val="1"/>
              <c:showSerName val="0"/>
              <c:showPercent val="0"/>
              <c:showBubbleSize val="0"/>
            </c:dLbl>
            <c:dLbl>
              <c:idx val="2"/>
              <c:layout>
                <c:manualLayout>
                  <c:x val="0.17794883712452944"/>
                  <c:y val="9.423322084739405E-2"/>
                </c:manualLayout>
              </c:layout>
              <c:tx>
                <c:rich>
                  <a:bodyPr/>
                  <a:lstStyle/>
                  <a:p>
                    <a:r>
                      <a:rPr lang="ru-RU" sz="1000" baseline="0"/>
                      <a:t>собственность общественных и религиозных объединений</a:t>
                    </a:r>
                    <a:br>
                      <a:rPr lang="ru-RU" sz="1000" baseline="0"/>
                    </a:br>
                    <a:r>
                      <a:rPr lang="ru-RU" sz="1000" baseline="0"/>
                      <a:t> 0.5%</a:t>
                    </a:r>
                  </a:p>
                </c:rich>
              </c:tx>
              <c:showLegendKey val="0"/>
              <c:showVal val="1"/>
              <c:showCatName val="1"/>
              <c:showSerName val="0"/>
              <c:showPercent val="0"/>
              <c:showBubbleSize val="0"/>
            </c:dLbl>
            <c:dLbl>
              <c:idx val="3"/>
              <c:layout>
                <c:manualLayout>
                  <c:x val="8.1016695829688005E-3"/>
                  <c:y val="0.10496844144482002"/>
                </c:manualLayout>
              </c:layout>
              <c:tx>
                <c:rich>
                  <a:bodyPr/>
                  <a:lstStyle/>
                  <a:p>
                    <a:r>
                      <a:rPr lang="ru-RU" sz="1000" baseline="0"/>
                      <a:t>частная собственность</a:t>
                    </a:r>
                    <a:br>
                      <a:rPr lang="ru-RU" sz="1000" baseline="0"/>
                    </a:br>
                    <a:r>
                      <a:rPr lang="ru-RU" sz="1000" baseline="0"/>
                      <a:t>2</a:t>
                    </a:r>
                    <a:r>
                      <a:rPr lang="en-US" sz="1000" baseline="0"/>
                      <a:t>0</a:t>
                    </a:r>
                    <a:r>
                      <a:rPr lang="ru-RU" sz="1000" baseline="0"/>
                      <a:t>,</a:t>
                    </a:r>
                    <a:r>
                      <a:rPr lang="en-US" sz="1000" baseline="0"/>
                      <a:t>8</a:t>
                    </a:r>
                    <a:r>
                      <a:rPr lang="ru-RU" sz="1000" baseline="0"/>
                      <a:t>%</a:t>
                    </a:r>
                  </a:p>
                </c:rich>
              </c:tx>
              <c:showLegendKey val="0"/>
              <c:showVal val="1"/>
              <c:showCatName val="1"/>
              <c:showSerName val="0"/>
              <c:showPercent val="0"/>
              <c:showBubbleSize val="0"/>
            </c:dLbl>
            <c:dLbl>
              <c:idx val="4"/>
              <c:layout>
                <c:manualLayout>
                  <c:x val="6.2888742148247039E-3"/>
                  <c:y val="0.17324972387031193"/>
                </c:manualLayout>
              </c:layout>
              <c:tx>
                <c:rich>
                  <a:bodyPr/>
                  <a:lstStyle/>
                  <a:p>
                    <a:r>
                      <a:rPr lang="ru-RU" sz="1000" baseline="0"/>
                      <a:t>собственность потребительской кооперации</a:t>
                    </a:r>
                    <a:br>
                      <a:rPr lang="ru-RU" sz="1000" baseline="0"/>
                    </a:br>
                    <a:r>
                      <a:rPr lang="en-US" sz="1000" baseline="0"/>
                      <a:t>0.1</a:t>
                    </a:r>
                    <a:r>
                      <a:rPr lang="ru-RU" sz="1000" baseline="0"/>
                      <a:t>%</a:t>
                    </a:r>
                  </a:p>
                </c:rich>
              </c:tx>
              <c:showLegendKey val="0"/>
              <c:showVal val="1"/>
              <c:showCatName val="1"/>
              <c:showSerName val="0"/>
              <c:showPercent val="0"/>
              <c:showBubbleSize val="0"/>
            </c:dLbl>
            <c:dLbl>
              <c:idx val="5"/>
              <c:layout>
                <c:manualLayout>
                  <c:x val="-2.5916903616214692E-2"/>
                  <c:y val="-8.0826146731660622E-2"/>
                </c:manualLayout>
              </c:layout>
              <c:tx>
                <c:rich>
                  <a:bodyPr/>
                  <a:lstStyle/>
                  <a:p>
                    <a:r>
                      <a:rPr lang="ru-RU" sz="1000" baseline="0"/>
                      <a:t>смешанная российская собственность </a:t>
                    </a:r>
                    <a:r>
                      <a:rPr lang="en-US" sz="1000" baseline="0"/>
                      <a:t>4.4</a:t>
                    </a:r>
                    <a:r>
                      <a:rPr lang="ru-RU" sz="1000" baseline="0"/>
                      <a:t>%</a:t>
                    </a:r>
                  </a:p>
                </c:rich>
              </c:tx>
              <c:showLegendKey val="0"/>
              <c:showVal val="1"/>
              <c:showCatName val="1"/>
              <c:showSerName val="0"/>
              <c:showPercent val="0"/>
              <c:showBubbleSize val="0"/>
            </c:dLbl>
            <c:dLbl>
              <c:idx val="6"/>
              <c:layout>
                <c:manualLayout>
                  <c:x val="8.3918780985710123E-2"/>
                  <c:y val="-0.16294619422572426"/>
                </c:manualLayout>
              </c:layout>
              <c:tx>
                <c:rich>
                  <a:bodyPr/>
                  <a:lstStyle/>
                  <a:p>
                    <a:r>
                      <a:rPr lang="ru-RU" sz="1000" baseline="0"/>
                      <a:t>собственность государственных корпораций</a:t>
                    </a:r>
                    <a:br>
                      <a:rPr lang="ru-RU" sz="1000" baseline="0"/>
                    </a:br>
                    <a:r>
                      <a:rPr lang="ru-RU" sz="1000" baseline="0"/>
                      <a:t>0.1%</a:t>
                    </a:r>
                  </a:p>
                </c:rich>
              </c:tx>
              <c:showLegendKey val="0"/>
              <c:showVal val="1"/>
              <c:showCatName val="1"/>
              <c:showSerName val="0"/>
              <c:showPercent val="0"/>
              <c:showBubbleSize val="0"/>
            </c:dLbl>
            <c:txPr>
              <a:bodyPr/>
              <a:lstStyle/>
              <a:p>
                <a:pPr>
                  <a:defRPr sz="1000" baseline="0">
                    <a:latin typeface="Arial" pitchFamily="34" charset="0"/>
                    <a:cs typeface="Arial" pitchFamily="34" charset="0"/>
                  </a:defRPr>
                </a:pPr>
                <a:endParaRPr lang="ru-RU"/>
              </a:p>
            </c:txPr>
            <c:showLegendKey val="0"/>
            <c:showVal val="1"/>
            <c:showCatName val="1"/>
            <c:showSerName val="0"/>
            <c:showPercent val="0"/>
            <c:showBubbleSize val="0"/>
            <c:showLeaderLines val="1"/>
          </c:dLbls>
          <c:cat>
            <c:strRef>
              <c:f>Лист1!$A$2:$A$8</c:f>
              <c:strCache>
                <c:ptCount val="7"/>
                <c:pt idx="0">
                  <c:v>государственная</c:v>
                </c:pt>
                <c:pt idx="1">
                  <c:v>муниципальная собственность</c:v>
                </c:pt>
                <c:pt idx="2">
                  <c:v>собственность общественных и религиозных объединений</c:v>
                </c:pt>
                <c:pt idx="3">
                  <c:v>частная собственность</c:v>
                </c:pt>
                <c:pt idx="4">
                  <c:v>собственность потребительской кооперации</c:v>
                </c:pt>
                <c:pt idx="5">
                  <c:v>смешанная российская собственность</c:v>
                </c:pt>
                <c:pt idx="6">
                  <c:v>собственность государственных корпораций</c:v>
                </c:pt>
              </c:strCache>
            </c:strRef>
          </c:cat>
          <c:val>
            <c:numRef>
              <c:f>Лист1!$B$2:$B$8</c:f>
              <c:numCache>
                <c:formatCode>General</c:formatCode>
                <c:ptCount val="7"/>
                <c:pt idx="0">
                  <c:v>28.8</c:v>
                </c:pt>
                <c:pt idx="1">
                  <c:v>45.3</c:v>
                </c:pt>
                <c:pt idx="2">
                  <c:v>0.5</c:v>
                </c:pt>
                <c:pt idx="3">
                  <c:v>20.8</c:v>
                </c:pt>
                <c:pt idx="4">
                  <c:v>0.1</c:v>
                </c:pt>
                <c:pt idx="5">
                  <c:v>4.4000000000000004</c:v>
                </c:pt>
                <c:pt idx="6">
                  <c:v>0.1</c:v>
                </c:pt>
              </c:numCache>
            </c:numRef>
          </c:val>
        </c:ser>
        <c:dLbls>
          <c:showLegendKey val="0"/>
          <c:showVal val="0"/>
          <c:showCatName val="0"/>
          <c:showSerName val="0"/>
          <c:showPercent val="0"/>
          <c:showBubbleSize val="0"/>
          <c:showLeaderLines val="1"/>
        </c:dLbls>
      </c:pie3DChart>
    </c:plotArea>
    <c:plotVisOnly val="1"/>
    <c:dispBlanksAs val="zero"/>
    <c:showDLblsOverMax val="0"/>
  </c:chart>
  <c:spPr>
    <a:noFill/>
    <a:ln>
      <a:noFill/>
    </a:ln>
    <a:scene3d>
      <a:camera prst="orthographicFront"/>
      <a:lightRig rig="threePt" dir="t"/>
    </a:scene3d>
    <a:sp3d>
      <a:bevelB w="165100" prst="coolSlant"/>
    </a:sp3d>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hPercent val="35"/>
      <c:rotY val="330"/>
      <c:depthPercent val="50"/>
      <c:rAngAx val="1"/>
    </c:view3D>
    <c:floor>
      <c:thickness val="0"/>
      <c:spPr>
        <a:noFill/>
        <a:ln w="9525">
          <a:noFill/>
        </a:ln>
      </c:spPr>
    </c:floor>
    <c:sideWall>
      <c:thickness val="0"/>
      <c:spPr>
        <a:gradFill>
          <a:gsLst>
            <a:gs pos="83000">
              <a:srgbClr val="8488C4">
                <a:alpha val="50000"/>
              </a:srgbClr>
            </a:gs>
            <a:gs pos="53000">
              <a:srgbClr val="D4DEFF"/>
            </a:gs>
            <a:gs pos="83000">
              <a:srgbClr val="D4DEFF"/>
            </a:gs>
            <a:gs pos="100000">
              <a:srgbClr val="96AB94"/>
            </a:gs>
          </a:gsLst>
          <a:lin ang="5400000" scaled="0"/>
        </a:gradFill>
        <a:ln w="25400">
          <a:noFill/>
        </a:ln>
      </c:spPr>
    </c:sideWall>
    <c:backWall>
      <c:thickness val="0"/>
      <c:spPr>
        <a:gradFill>
          <a:gsLst>
            <a:gs pos="83000">
              <a:srgbClr val="8488C4">
                <a:alpha val="50000"/>
              </a:srgbClr>
            </a:gs>
            <a:gs pos="53000">
              <a:srgbClr val="D4DEFF"/>
            </a:gs>
            <a:gs pos="83000">
              <a:srgbClr val="D4DEFF"/>
            </a:gs>
            <a:gs pos="100000">
              <a:srgbClr val="96AB94"/>
            </a:gs>
          </a:gsLst>
          <a:lin ang="5400000" scaled="0"/>
        </a:gradFill>
        <a:ln w="25400">
          <a:noFill/>
        </a:ln>
      </c:spPr>
    </c:backWall>
    <c:plotArea>
      <c:layout>
        <c:manualLayout>
          <c:layoutTarget val="inner"/>
          <c:xMode val="edge"/>
          <c:yMode val="edge"/>
          <c:x val="1.2391573729863823E-3"/>
          <c:y val="2.0618556701030927E-2"/>
          <c:w val="0.90334572490705956"/>
          <c:h val="0.86939734069078034"/>
        </c:manualLayout>
      </c:layout>
      <c:bar3DChart>
        <c:barDir val="col"/>
        <c:grouping val="clustered"/>
        <c:varyColors val="0"/>
        <c:ser>
          <c:idx val="0"/>
          <c:order val="0"/>
          <c:tx>
            <c:strRef>
              <c:f>Sheet1!$A$2</c:f>
              <c:strCache>
                <c:ptCount val="1"/>
              </c:strCache>
            </c:strRef>
          </c:tx>
          <c:spPr>
            <a:solidFill>
              <a:srgbClr val="9999FF"/>
            </a:solidFill>
            <a:ln w="10803">
              <a:solidFill>
                <a:srgbClr val="000000"/>
              </a:solidFill>
              <a:prstDash val="solid"/>
            </a:ln>
          </c:spPr>
          <c:invertIfNegative val="0"/>
          <c:dLbls>
            <c:dLbl>
              <c:idx val="0"/>
              <c:layout>
                <c:manualLayout>
                  <c:x val="6.1826804023598712E-4"/>
                  <c:y val="-2.4480813618434478E-2"/>
                </c:manualLayout>
              </c:layout>
              <c:showLegendKey val="0"/>
              <c:showVal val="1"/>
              <c:showCatName val="0"/>
              <c:showSerName val="0"/>
              <c:showPercent val="0"/>
              <c:showBubbleSize val="0"/>
            </c:dLbl>
            <c:dLbl>
              <c:idx val="1"/>
              <c:layout>
                <c:manualLayout>
                  <c:x val="-6.4467275609049095E-3"/>
                  <c:y val="0.12974239994744857"/>
                </c:manualLayout>
              </c:layout>
              <c:showLegendKey val="0"/>
              <c:showVal val="1"/>
              <c:showCatName val="0"/>
              <c:showSerName val="0"/>
              <c:showPercent val="0"/>
              <c:showBubbleSize val="0"/>
            </c:dLbl>
            <c:dLbl>
              <c:idx val="2"/>
              <c:layout>
                <c:manualLayout>
                  <c:x val="-9.1456964590630148E-4"/>
                  <c:y val="-2.062980182084748E-2"/>
                </c:manualLayout>
              </c:layout>
              <c:showLegendKey val="0"/>
              <c:showVal val="1"/>
              <c:showCatName val="0"/>
              <c:showSerName val="0"/>
              <c:showPercent val="0"/>
              <c:showBubbleSize val="0"/>
            </c:dLbl>
            <c:dLbl>
              <c:idx val="3"/>
              <c:layout>
                <c:manualLayout>
                  <c:x val="-2.6075234943011274E-3"/>
                  <c:y val="-1.067127701187524E-2"/>
                </c:manualLayout>
              </c:layout>
              <c:showLegendKey val="0"/>
              <c:showVal val="1"/>
              <c:showCatName val="0"/>
              <c:showSerName val="0"/>
              <c:showPercent val="0"/>
              <c:showBubbleSize val="0"/>
            </c:dLbl>
            <c:dLbl>
              <c:idx val="4"/>
              <c:layout>
                <c:manualLayout>
                  <c:x val="9.8220495221471135E-4"/>
                  <c:y val="-1.0615269973840056E-2"/>
                </c:manualLayout>
              </c:layout>
              <c:showLegendKey val="0"/>
              <c:showVal val="1"/>
              <c:showCatName val="0"/>
              <c:showSerName val="0"/>
              <c:showPercent val="0"/>
              <c:showBubbleSize val="0"/>
            </c:dLbl>
            <c:dLbl>
              <c:idx val="5"/>
              <c:layout>
                <c:manualLayout>
                  <c:x val="-8.0867700654966793E-3"/>
                  <c:y val="-1.9253639880286503E-2"/>
                </c:manualLayout>
              </c:layout>
              <c:showLegendKey val="0"/>
              <c:showVal val="1"/>
              <c:showCatName val="0"/>
              <c:showSerName val="0"/>
              <c:showPercent val="0"/>
              <c:showBubbleSize val="0"/>
            </c:dLbl>
            <c:dLbl>
              <c:idx val="6"/>
              <c:layout>
                <c:manualLayout>
                  <c:x val="-6.6685307669351272E-3"/>
                  <c:y val="0.12562805287071738"/>
                </c:manualLayout>
              </c:layout>
              <c:showLegendKey val="0"/>
              <c:showVal val="1"/>
              <c:showCatName val="0"/>
              <c:showSerName val="0"/>
              <c:showPercent val="0"/>
              <c:showBubbleSize val="0"/>
            </c:dLbl>
            <c:dLbl>
              <c:idx val="7"/>
              <c:layout>
                <c:manualLayout>
                  <c:x val="-1.1429971237166723E-2"/>
                  <c:y val="8.2196515749031793E-2"/>
                </c:manualLayout>
              </c:layout>
              <c:showLegendKey val="0"/>
              <c:showVal val="1"/>
              <c:showCatName val="0"/>
              <c:showSerName val="0"/>
              <c:showPercent val="0"/>
              <c:showBubbleSize val="0"/>
            </c:dLbl>
            <c:dLbl>
              <c:idx val="8"/>
              <c:layout>
                <c:manualLayout>
                  <c:x val="-6.7758616503872434E-3"/>
                  <c:y val="-3.6999214688607993E-3"/>
                </c:manualLayout>
              </c:layout>
              <c:showLegendKey val="0"/>
              <c:showVal val="1"/>
              <c:showCatName val="0"/>
              <c:showSerName val="0"/>
              <c:showPercent val="0"/>
              <c:showBubbleSize val="0"/>
            </c:dLbl>
            <c:dLbl>
              <c:idx val="9"/>
              <c:layout>
                <c:manualLayout>
                  <c:x val="-6.9416425721708572E-3"/>
                  <c:y val="-1.4041248256937203E-2"/>
                </c:manualLayout>
              </c:layout>
              <c:showLegendKey val="0"/>
              <c:showVal val="1"/>
              <c:showCatName val="0"/>
              <c:showSerName val="0"/>
              <c:showPercent val="0"/>
              <c:showBubbleSize val="0"/>
            </c:dLbl>
            <c:dLbl>
              <c:idx val="10"/>
              <c:layout>
                <c:manualLayout>
                  <c:x val="-6.0744372523835403E-2"/>
                  <c:y val="5.7566609634547308E-2"/>
                </c:manualLayout>
              </c:layout>
              <c:showLegendKey val="0"/>
              <c:showVal val="1"/>
              <c:showCatName val="0"/>
              <c:showSerName val="0"/>
              <c:showPercent val="0"/>
              <c:showBubbleSize val="0"/>
            </c:dLbl>
            <c:dLbl>
              <c:idx val="11"/>
              <c:layout>
                <c:manualLayout>
                  <c:x val="-1.0362694899519903E-2"/>
                  <c:y val="-1.0673367194288427E-2"/>
                </c:manualLayout>
              </c:layout>
              <c:showLegendKey val="0"/>
              <c:showVal val="1"/>
              <c:showCatName val="0"/>
              <c:showSerName val="0"/>
              <c:showPercent val="0"/>
              <c:showBubbleSize val="0"/>
            </c:dLbl>
            <c:dLbl>
              <c:idx val="12"/>
              <c:layout>
                <c:manualLayout>
                  <c:x val="-9.4802640934015248E-3"/>
                  <c:y val="-1.3693979378857643E-2"/>
                </c:manualLayout>
              </c:layout>
              <c:showLegendKey val="0"/>
              <c:showVal val="1"/>
              <c:showCatName val="0"/>
              <c:showSerName val="0"/>
              <c:showPercent val="0"/>
              <c:showBubbleSize val="0"/>
            </c:dLbl>
            <c:dLbl>
              <c:idx val="13"/>
              <c:layout>
                <c:manualLayout>
                  <c:x val="-9.0559851652665512E-3"/>
                  <c:y val="-1.7445259615585768E-2"/>
                </c:manualLayout>
              </c:layout>
              <c:showLegendKey val="0"/>
              <c:showVal val="1"/>
              <c:showCatName val="0"/>
              <c:showSerName val="0"/>
              <c:showPercent val="0"/>
              <c:showBubbleSize val="0"/>
            </c:dLbl>
            <c:dLbl>
              <c:idx val="14"/>
              <c:layout>
                <c:manualLayout>
                  <c:x val="-5.8681141348199215E-3"/>
                  <c:y val="0"/>
                </c:manualLayout>
              </c:layout>
              <c:showLegendKey val="0"/>
              <c:showVal val="1"/>
              <c:showCatName val="0"/>
              <c:showSerName val="0"/>
              <c:showPercent val="0"/>
              <c:showBubbleSize val="0"/>
            </c:dLbl>
            <c:numFmt formatCode="0.0" sourceLinked="0"/>
            <c:spPr>
              <a:noFill/>
              <a:ln w="21627">
                <a:noFill/>
              </a:ln>
            </c:spPr>
            <c:txPr>
              <a:bodyPr/>
              <a:lstStyle/>
              <a:p>
                <a:pPr algn="just">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Sheet1!$B$1:$P$1</c:f>
              <c:numCache>
                <c:formatCode>General</c:formatCode>
                <c:ptCount val="1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numCache>
            </c:numRef>
          </c:cat>
          <c:val>
            <c:numRef>
              <c:f>Sheet1!$B$2:$P$2</c:f>
              <c:numCache>
                <c:formatCode>General</c:formatCode>
                <c:ptCount val="15"/>
                <c:pt idx="0">
                  <c:v>534</c:v>
                </c:pt>
                <c:pt idx="1">
                  <c:v>-585</c:v>
                </c:pt>
                <c:pt idx="2">
                  <c:v>2147</c:v>
                </c:pt>
                <c:pt idx="3">
                  <c:v>194</c:v>
                </c:pt>
                <c:pt idx="4">
                  <c:v>487</c:v>
                </c:pt>
                <c:pt idx="5">
                  <c:v>1923</c:v>
                </c:pt>
                <c:pt idx="6">
                  <c:v>-478</c:v>
                </c:pt>
                <c:pt idx="7">
                  <c:v>-106</c:v>
                </c:pt>
                <c:pt idx="8">
                  <c:v>585</c:v>
                </c:pt>
                <c:pt idx="9">
                  <c:v>4091</c:v>
                </c:pt>
                <c:pt idx="10">
                  <c:v>10324</c:v>
                </c:pt>
                <c:pt idx="11">
                  <c:v>2142</c:v>
                </c:pt>
                <c:pt idx="12">
                  <c:v>2781</c:v>
                </c:pt>
                <c:pt idx="13">
                  <c:v>6770</c:v>
                </c:pt>
                <c:pt idx="14">
                  <c:v>5005</c:v>
                </c:pt>
              </c:numCache>
            </c:numRef>
          </c:val>
        </c:ser>
        <c:dLbls>
          <c:showLegendKey val="0"/>
          <c:showVal val="1"/>
          <c:showCatName val="0"/>
          <c:showSerName val="0"/>
          <c:showPercent val="0"/>
          <c:showBubbleSize val="0"/>
        </c:dLbls>
        <c:gapWidth val="50"/>
        <c:gapDepth val="0"/>
        <c:shape val="cylinder"/>
        <c:axId val="336956032"/>
        <c:axId val="339682816"/>
        <c:axId val="0"/>
      </c:bar3DChart>
      <c:catAx>
        <c:axId val="336956032"/>
        <c:scaling>
          <c:orientation val="minMax"/>
        </c:scaling>
        <c:delete val="0"/>
        <c:axPos val="b"/>
        <c:numFmt formatCode="General" sourceLinked="1"/>
        <c:majorTickMark val="out"/>
        <c:minorTickMark val="none"/>
        <c:tickLblPos val="low"/>
        <c:spPr>
          <a:ln w="10803">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9682816"/>
        <c:crosses val="autoZero"/>
        <c:auto val="1"/>
        <c:lblAlgn val="ctr"/>
        <c:lblOffset val="100"/>
        <c:tickLblSkip val="1"/>
        <c:tickMarkSkip val="1"/>
        <c:noMultiLvlLbl val="0"/>
      </c:catAx>
      <c:valAx>
        <c:axId val="339682816"/>
        <c:scaling>
          <c:orientation val="minMax"/>
          <c:max val="10700"/>
          <c:min val="-600"/>
        </c:scaling>
        <c:delete val="0"/>
        <c:axPos val="r"/>
        <c:numFmt formatCode="General" sourceLinked="1"/>
        <c:majorTickMark val="out"/>
        <c:minorTickMark val="none"/>
        <c:tickLblPos val="nextTo"/>
        <c:spPr>
          <a:ln w="2701">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6956032"/>
        <c:crosses val="max"/>
        <c:crossBetween val="between"/>
        <c:majorUnit val="1000"/>
        <c:minorUnit val="200"/>
      </c:valAx>
      <c:spPr>
        <a:noFill/>
        <a:ln w="21627">
          <a:noFill/>
        </a:ln>
      </c:spPr>
    </c:plotArea>
    <c:plotVisOnly val="1"/>
    <c:dispBlanksAs val="gap"/>
    <c:showDLblsOverMax val="0"/>
  </c:chart>
  <c:spPr>
    <a:noFill/>
    <a:ln w="32441" cap="flat" cmpd="dbl" algn="ctr">
      <a:solidFill>
        <a:srgbClr val="000000"/>
      </a:solidFill>
      <a:prstDash val="solid"/>
      <a:miter lim="800000"/>
      <a:headEnd type="none" w="med" len="med"/>
      <a:tailEnd type="none" w="med" len="med"/>
    </a:ln>
  </c:spPr>
  <c:txPr>
    <a:bodyPr/>
    <a:lstStyle/>
    <a:p>
      <a:pPr>
        <a:defRPr sz="681" b="0" i="0" u="none" strike="noStrike" baseline="0">
          <a:solidFill>
            <a:srgbClr val="000000"/>
          </a:solidFill>
          <a:latin typeface="Arial"/>
          <a:ea typeface="Arial"/>
          <a:cs typeface="Arial"/>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5"/>
      <c:rotY val="44"/>
      <c:depthPercent val="100"/>
      <c:rAngAx val="1"/>
    </c:view3D>
    <c:floor>
      <c:thickness val="0"/>
      <c:spPr>
        <a:solidFill>
          <a:srgbClr val="C0C0C0">
            <a:alpha val="35000"/>
          </a:srgbClr>
        </a:solidFill>
        <a:ln w="25400">
          <a:solidFill>
            <a:srgbClr val="000000"/>
          </a:solidFill>
          <a:prstDash val="solid"/>
        </a:ln>
      </c:spPr>
    </c:floor>
    <c:sideWall>
      <c:thickness val="0"/>
      <c:spPr>
        <a:blipFill dpi="0" rotWithShape="1">
          <a:blip xmlns:r="http://schemas.openxmlformats.org/officeDocument/2006/relationships" r:embed="rId1">
            <a:alphaModFix amt="26000"/>
          </a:blip>
          <a:srcRect/>
          <a:stretch>
            <a:fillRect t="-37000"/>
          </a:stretch>
        </a:blipFill>
        <a:ln w="12700">
          <a:solidFill>
            <a:srgbClr val="FFFFFF"/>
          </a:solidFill>
          <a:prstDash val="solid"/>
        </a:ln>
      </c:spPr>
    </c:sideWall>
    <c:backWall>
      <c:thickness val="0"/>
      <c:spPr>
        <a:blipFill dpi="0" rotWithShape="1">
          <a:blip xmlns:r="http://schemas.openxmlformats.org/officeDocument/2006/relationships" r:embed="rId1">
            <a:alphaModFix amt="26000"/>
          </a:blip>
          <a:srcRect/>
          <a:stretch>
            <a:fillRect t="-37000"/>
          </a:stretch>
        </a:blipFill>
        <a:ln w="12700">
          <a:solidFill>
            <a:srgbClr val="FFFFFF"/>
          </a:solidFill>
          <a:prstDash val="solid"/>
        </a:ln>
      </c:spPr>
    </c:backWall>
    <c:plotArea>
      <c:layout>
        <c:manualLayout>
          <c:layoutTarget val="inner"/>
          <c:xMode val="edge"/>
          <c:yMode val="edge"/>
          <c:x val="4.8359309947860502E-2"/>
          <c:y val="2.3304939682834414E-2"/>
          <c:w val="0.95164057828471171"/>
          <c:h val="0.82621082621082664"/>
        </c:manualLayout>
      </c:layout>
      <c:bar3DChart>
        <c:barDir val="col"/>
        <c:grouping val="clustered"/>
        <c:varyColors val="0"/>
        <c:ser>
          <c:idx val="0"/>
          <c:order val="0"/>
          <c:tx>
            <c:strRef>
              <c:f>Sheet1!$A$2</c:f>
              <c:strCache>
                <c:ptCount val="1"/>
                <c:pt idx="0">
                  <c:v>Общая (по методологии МОТ)</c:v>
                </c:pt>
              </c:strCache>
            </c:strRef>
          </c:tx>
          <c:spPr>
            <a:gradFill rotWithShape="0">
              <a:gsLst>
                <a:gs pos="0">
                  <a:srgbClr val="FFFFFF"/>
                </a:gs>
                <a:gs pos="100000">
                  <a:srgbClr val="800000"/>
                </a:gs>
              </a:gsLst>
              <a:lin ang="5400000" scaled="1"/>
            </a:gradFill>
            <a:ln w="12705">
              <a:solidFill>
                <a:schemeClr val="accent2">
                  <a:lumMod val="60000"/>
                  <a:lumOff val="40000"/>
                </a:schemeClr>
              </a:solidFill>
              <a:prstDash val="solid"/>
            </a:ln>
            <a:scene3d>
              <a:camera prst="orthographicFront"/>
              <a:lightRig rig="threePt" dir="t"/>
            </a:scene3d>
            <a:sp3d>
              <a:bevelT prst="slope"/>
              <a:bevelB prst="slope"/>
              <a:contourClr>
                <a:srgbClr val="000000"/>
              </a:contourClr>
            </a:sp3d>
          </c:spPr>
          <c:invertIfNegative val="0"/>
          <c:dLbls>
            <c:dLbl>
              <c:idx val="0"/>
              <c:layout>
                <c:manualLayout>
                  <c:x val="0"/>
                  <c:y val="8.8560885608857567E-2"/>
                </c:manualLayout>
              </c:layout>
              <c:showLegendKey val="0"/>
              <c:showVal val="1"/>
              <c:showCatName val="0"/>
              <c:showSerName val="0"/>
              <c:showPercent val="0"/>
              <c:showBubbleSize val="0"/>
            </c:dLbl>
            <c:dLbl>
              <c:idx val="1"/>
              <c:layout>
                <c:manualLayout>
                  <c:x val="2.8388928317955998E-3"/>
                  <c:y val="7.3800738007380073E-2"/>
                </c:manualLayout>
              </c:layout>
              <c:showLegendKey val="0"/>
              <c:showVal val="1"/>
              <c:showCatName val="0"/>
              <c:showSerName val="0"/>
              <c:showPercent val="0"/>
              <c:showBubbleSize val="0"/>
            </c:dLbl>
            <c:dLbl>
              <c:idx val="2"/>
              <c:layout>
                <c:manualLayout>
                  <c:x val="2.8388928317955998E-3"/>
                  <c:y val="0.11808118081180811"/>
                </c:manualLayout>
              </c:layout>
              <c:showLegendKey val="0"/>
              <c:showVal val="1"/>
              <c:showCatName val="0"/>
              <c:showSerName val="0"/>
              <c:showPercent val="0"/>
              <c:showBubbleSize val="0"/>
            </c:dLbl>
            <c:dLbl>
              <c:idx val="3"/>
              <c:layout>
                <c:manualLayout>
                  <c:x val="1.4194464158977999E-3"/>
                  <c:y val="8.8560885608857567E-2"/>
                </c:manualLayout>
              </c:layout>
              <c:showLegendKey val="0"/>
              <c:showVal val="1"/>
              <c:showCatName val="0"/>
              <c:showSerName val="0"/>
              <c:showPercent val="0"/>
              <c:showBubbleSize val="0"/>
            </c:dLbl>
            <c:spPr>
              <a:solidFill>
                <a:srgbClr val="FFFFFF"/>
              </a:solidFill>
              <a:ln w="6350">
                <a:solidFill>
                  <a:srgbClr val="000000"/>
                </a:solidFill>
                <a:prstDash val="solid"/>
              </a:ln>
            </c:spPr>
            <c:txPr>
              <a:bodyPr/>
              <a:lstStyle/>
              <a:p>
                <a:pPr>
                  <a:defRPr sz="1100"/>
                </a:pPr>
                <a:endParaRPr lang="ru-RU"/>
              </a:p>
            </c:txPr>
            <c:showLegendKey val="0"/>
            <c:showVal val="1"/>
            <c:showCatName val="0"/>
            <c:showSerName val="0"/>
            <c:showPercent val="0"/>
            <c:showBubbleSize val="0"/>
            <c:showLeaderLines val="0"/>
          </c:dLbls>
          <c:cat>
            <c:numRef>
              <c:f>Sheet1!$B$1:$E$1</c:f>
              <c:numCache>
                <c:formatCode>General</c:formatCode>
                <c:ptCount val="4"/>
                <c:pt idx="0">
                  <c:v>1995</c:v>
                </c:pt>
                <c:pt idx="1">
                  <c:v>2000</c:v>
                </c:pt>
                <c:pt idx="2">
                  <c:v>2005</c:v>
                </c:pt>
                <c:pt idx="3">
                  <c:v>2011</c:v>
                </c:pt>
              </c:numCache>
            </c:numRef>
          </c:cat>
          <c:val>
            <c:numRef>
              <c:f>Sheet1!$B$2:$E$2</c:f>
              <c:numCache>
                <c:formatCode>General</c:formatCode>
                <c:ptCount val="4"/>
                <c:pt idx="0" formatCode="0.0">
                  <c:v>8</c:v>
                </c:pt>
                <c:pt idx="1">
                  <c:v>6.6</c:v>
                </c:pt>
                <c:pt idx="2">
                  <c:v>7.7</c:v>
                </c:pt>
                <c:pt idx="3">
                  <c:v>6.9</c:v>
                </c:pt>
              </c:numCache>
            </c:numRef>
          </c:val>
        </c:ser>
        <c:ser>
          <c:idx val="1"/>
          <c:order val="1"/>
          <c:tx>
            <c:strRef>
              <c:f>Sheet1!$A$3</c:f>
              <c:strCache>
                <c:ptCount val="1"/>
                <c:pt idx="0">
                  <c:v>Зарегистрированная</c:v>
                </c:pt>
              </c:strCache>
            </c:strRef>
          </c:tx>
          <c:spPr>
            <a:gradFill rotWithShape="0">
              <a:gsLst>
                <a:gs pos="0">
                  <a:srgbClr val="FFFFFF"/>
                </a:gs>
                <a:gs pos="100000">
                  <a:srgbClr val="339966"/>
                </a:gs>
              </a:gsLst>
              <a:lin ang="5400000" scaled="1"/>
            </a:gradFill>
            <a:ln w="25411">
              <a:solidFill>
                <a:schemeClr val="accent3">
                  <a:lumMod val="75000"/>
                </a:schemeClr>
              </a:solidFill>
              <a:prstDash val="solid"/>
            </a:ln>
            <a:scene3d>
              <a:camera prst="orthographicFront"/>
              <a:lightRig rig="threePt" dir="t"/>
            </a:scene3d>
            <a:sp3d>
              <a:bevelT prst="slope"/>
              <a:bevelB prst="slope"/>
              <a:contourClr>
                <a:srgbClr val="000000"/>
              </a:contourClr>
            </a:sp3d>
          </c:spPr>
          <c:invertIfNegative val="0"/>
          <c:dLbls>
            <c:spPr>
              <a:solidFill>
                <a:srgbClr val="FFFFFF"/>
              </a:solidFill>
              <a:ln>
                <a:solidFill>
                  <a:srgbClr val="000000"/>
                </a:solidFill>
              </a:ln>
            </c:spPr>
            <c:txPr>
              <a:bodyPr/>
              <a:lstStyle/>
              <a:p>
                <a:pPr>
                  <a:defRPr sz="1100"/>
                </a:pPr>
                <a:endParaRPr lang="ru-RU"/>
              </a:p>
            </c:txPr>
            <c:showLegendKey val="0"/>
            <c:showVal val="1"/>
            <c:showCatName val="0"/>
            <c:showSerName val="0"/>
            <c:showPercent val="0"/>
            <c:showBubbleSize val="0"/>
            <c:showLeaderLines val="0"/>
          </c:dLbls>
          <c:cat>
            <c:numRef>
              <c:f>Sheet1!$B$1:$E$1</c:f>
              <c:numCache>
                <c:formatCode>General</c:formatCode>
                <c:ptCount val="4"/>
                <c:pt idx="0">
                  <c:v>1995</c:v>
                </c:pt>
                <c:pt idx="1">
                  <c:v>2000</c:v>
                </c:pt>
                <c:pt idx="2">
                  <c:v>2005</c:v>
                </c:pt>
                <c:pt idx="3">
                  <c:v>2011</c:v>
                </c:pt>
              </c:numCache>
            </c:numRef>
          </c:cat>
          <c:val>
            <c:numRef>
              <c:f>Sheet1!$B$3:$E$3</c:f>
              <c:numCache>
                <c:formatCode>General</c:formatCode>
                <c:ptCount val="4"/>
                <c:pt idx="0">
                  <c:v>3.2</c:v>
                </c:pt>
                <c:pt idx="1">
                  <c:v>1.5</c:v>
                </c:pt>
                <c:pt idx="2">
                  <c:v>3.02</c:v>
                </c:pt>
                <c:pt idx="3">
                  <c:v>1.01</c:v>
                </c:pt>
              </c:numCache>
            </c:numRef>
          </c:val>
        </c:ser>
        <c:dLbls>
          <c:showLegendKey val="0"/>
          <c:showVal val="1"/>
          <c:showCatName val="0"/>
          <c:showSerName val="0"/>
          <c:showPercent val="0"/>
          <c:showBubbleSize val="0"/>
        </c:dLbls>
        <c:gapWidth val="150"/>
        <c:gapDepth val="0"/>
        <c:shape val="box"/>
        <c:axId val="395942528"/>
        <c:axId val="395951488"/>
        <c:axId val="0"/>
      </c:bar3DChart>
      <c:catAx>
        <c:axId val="395942528"/>
        <c:scaling>
          <c:orientation val="minMax"/>
        </c:scaling>
        <c:delete val="0"/>
        <c:axPos val="b"/>
        <c:numFmt formatCode="General" sourceLinked="1"/>
        <c:majorTickMark val="out"/>
        <c:minorTickMark val="none"/>
        <c:tickLblPos val="low"/>
        <c:spPr>
          <a:ln w="25411">
            <a:solidFill>
              <a:srgbClr val="000000"/>
            </a:solidFill>
            <a:prstDash val="solid"/>
          </a:ln>
        </c:spPr>
        <c:txPr>
          <a:bodyPr rot="0" vert="horz"/>
          <a:lstStyle/>
          <a:p>
            <a:pPr>
              <a:defRPr sz="1100" b="0" i="0" u="none" strike="noStrike" baseline="0">
                <a:solidFill>
                  <a:srgbClr val="000000"/>
                </a:solidFill>
                <a:latin typeface="Times New Roman CYR"/>
                <a:ea typeface="Times New Roman CYR"/>
                <a:cs typeface="Times New Roman CYR"/>
              </a:defRPr>
            </a:pPr>
            <a:endParaRPr lang="ru-RU"/>
          </a:p>
        </c:txPr>
        <c:crossAx val="395951488"/>
        <c:crosses val="autoZero"/>
        <c:auto val="1"/>
        <c:lblAlgn val="ctr"/>
        <c:lblOffset val="100"/>
        <c:tickLblSkip val="1"/>
        <c:tickMarkSkip val="1"/>
        <c:noMultiLvlLbl val="0"/>
      </c:catAx>
      <c:valAx>
        <c:axId val="395951488"/>
        <c:scaling>
          <c:orientation val="minMax"/>
          <c:max val="10"/>
        </c:scaling>
        <c:delete val="0"/>
        <c:axPos val="l"/>
        <c:title>
          <c:tx>
            <c:rich>
              <a:bodyPr/>
              <a:lstStyle/>
              <a:p>
                <a:pPr>
                  <a:defRPr sz="1201" b="0" i="0" u="none" strike="noStrike" baseline="0">
                    <a:solidFill>
                      <a:srgbClr val="000000"/>
                    </a:solidFill>
                    <a:latin typeface="Times New Roman Cyr"/>
                    <a:ea typeface="Times New Roman Cyr"/>
                    <a:cs typeface="Times New Roman Cyr"/>
                  </a:defRPr>
                </a:pPr>
                <a:r>
                  <a:rPr lang="ru-RU"/>
                  <a:t>проценты</a:t>
                </a:r>
              </a:p>
            </c:rich>
          </c:tx>
          <c:layout>
            <c:manualLayout>
              <c:xMode val="edge"/>
              <c:yMode val="edge"/>
              <c:x val="2.7993779160186631E-2"/>
              <c:y val="0.3504273504273504"/>
            </c:manualLayout>
          </c:layout>
          <c:overlay val="0"/>
          <c:spPr>
            <a:noFill/>
            <a:ln w="25411">
              <a:noFill/>
            </a:ln>
          </c:spPr>
        </c:title>
        <c:numFmt formatCode="0.0" sourceLinked="1"/>
        <c:majorTickMark val="out"/>
        <c:minorTickMark val="none"/>
        <c:tickLblPos val="nextTo"/>
        <c:spPr>
          <a:ln w="3176">
            <a:solidFill>
              <a:srgbClr val="000000"/>
            </a:solidFill>
            <a:prstDash val="solid"/>
          </a:ln>
        </c:spPr>
        <c:txPr>
          <a:bodyPr rot="0" vert="horz"/>
          <a:lstStyle/>
          <a:p>
            <a:pPr>
              <a:defRPr sz="1100" b="0" i="0" u="none" strike="noStrike" baseline="0">
                <a:solidFill>
                  <a:srgbClr val="000000"/>
                </a:solidFill>
                <a:latin typeface="Times New Roman CYR"/>
                <a:ea typeface="Times New Roman CYR"/>
                <a:cs typeface="Times New Roman CYR"/>
              </a:defRPr>
            </a:pPr>
            <a:endParaRPr lang="ru-RU"/>
          </a:p>
        </c:txPr>
        <c:crossAx val="395942528"/>
        <c:crosses val="autoZero"/>
        <c:crossBetween val="between"/>
        <c:majorUnit val="2"/>
      </c:valAx>
      <c:spPr>
        <a:noFill/>
        <a:ln w="25411">
          <a:noFill/>
        </a:ln>
      </c:spPr>
    </c:plotArea>
    <c:legend>
      <c:legendPos val="b"/>
      <c:legendEntry>
        <c:idx val="0"/>
        <c:txPr>
          <a:bodyPr/>
          <a:lstStyle/>
          <a:p>
            <a:pPr>
              <a:defRPr sz="1200" b="0" i="0" u="none" strike="noStrike" baseline="0">
                <a:solidFill>
                  <a:srgbClr val="000000"/>
                </a:solidFill>
                <a:latin typeface="Arial"/>
                <a:ea typeface="Arial"/>
                <a:cs typeface="Arial"/>
              </a:defRPr>
            </a:pPr>
            <a:endParaRPr lang="ru-RU"/>
          </a:p>
        </c:txPr>
      </c:legendEntry>
      <c:layout>
        <c:manualLayout>
          <c:xMode val="edge"/>
          <c:yMode val="edge"/>
          <c:x val="9.6423017107309481E-2"/>
          <c:y val="0.91887177848156465"/>
          <c:w val="0.85692068429238566"/>
          <c:h val="6.9732109132115708E-2"/>
        </c:manualLayout>
      </c:layout>
      <c:overlay val="0"/>
      <c:spPr>
        <a:noFill/>
        <a:ln w="12705">
          <a:noFill/>
          <a:prstDash val="solid"/>
        </a:ln>
      </c:spPr>
      <c:txPr>
        <a:bodyPr/>
        <a:lstStyle/>
        <a:p>
          <a:pPr>
            <a:defRPr sz="1010" b="0" i="0" u="none" strike="noStrike" baseline="0">
              <a:solidFill>
                <a:srgbClr val="000000"/>
              </a:solidFill>
              <a:latin typeface="Arial"/>
              <a:ea typeface="Arial"/>
              <a:cs typeface="Arial"/>
            </a:defRPr>
          </a:pPr>
          <a:endParaRPr lang="ru-RU"/>
        </a:p>
      </c:txPr>
    </c:legend>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lgn="just">
        <a:defRPr sz="1551"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330"/>
      <c:depthPercent val="50"/>
      <c:rAngAx val="1"/>
    </c:view3D>
    <c:floor>
      <c:thickness val="0"/>
      <c:spPr>
        <a:noFill/>
        <a:ln w="9525">
          <a:noFill/>
        </a:ln>
      </c:spPr>
    </c:floor>
    <c:sideWall>
      <c:thickness val="0"/>
      <c:spPr>
        <a:gradFill>
          <a:gsLst>
            <a:gs pos="0">
              <a:srgbClr val="8064A2">
                <a:lumMod val="40000"/>
                <a:lumOff val="60000"/>
                <a:alpha val="50000"/>
              </a:srgbClr>
            </a:gs>
            <a:gs pos="42000">
              <a:srgbClr val="8064A2">
                <a:lumMod val="40000"/>
                <a:lumOff val="60000"/>
                <a:alpha val="50000"/>
              </a:srgbClr>
            </a:gs>
            <a:gs pos="17999">
              <a:srgbClr val="99CCFF"/>
            </a:gs>
            <a:gs pos="36000">
              <a:srgbClr val="9966FF"/>
            </a:gs>
            <a:gs pos="61000">
              <a:srgbClr val="CC99FF"/>
            </a:gs>
            <a:gs pos="82001">
              <a:srgbClr val="99CCFF"/>
            </a:gs>
            <a:gs pos="100000">
              <a:srgbClr val="CCCCFF"/>
            </a:gs>
          </a:gsLst>
          <a:lin ang="5400000" scaled="0"/>
        </a:gradFill>
        <a:ln w="25400">
          <a:noFill/>
        </a:ln>
      </c:spPr>
    </c:sideWall>
    <c:backWall>
      <c:thickness val="0"/>
      <c:spPr>
        <a:gradFill>
          <a:gsLst>
            <a:gs pos="0">
              <a:srgbClr val="8064A2">
                <a:lumMod val="40000"/>
                <a:lumOff val="60000"/>
                <a:alpha val="50000"/>
              </a:srgbClr>
            </a:gs>
            <a:gs pos="42000">
              <a:srgbClr val="8064A2">
                <a:lumMod val="40000"/>
                <a:lumOff val="60000"/>
                <a:alpha val="50000"/>
              </a:srgbClr>
            </a:gs>
            <a:gs pos="17999">
              <a:srgbClr val="99CCFF"/>
            </a:gs>
            <a:gs pos="36000">
              <a:srgbClr val="9966FF"/>
            </a:gs>
            <a:gs pos="61000">
              <a:srgbClr val="CC99FF"/>
            </a:gs>
            <a:gs pos="82001">
              <a:srgbClr val="99CCFF"/>
            </a:gs>
            <a:gs pos="100000">
              <a:srgbClr val="CCCCFF"/>
            </a:gs>
          </a:gsLst>
          <a:lin ang="5400000" scaled="0"/>
        </a:gradFill>
        <a:ln w="25400">
          <a:noFill/>
        </a:ln>
      </c:spPr>
    </c:backWall>
    <c:plotArea>
      <c:layout>
        <c:manualLayout>
          <c:layoutTarget val="inner"/>
          <c:xMode val="edge"/>
          <c:yMode val="edge"/>
          <c:x val="1.6109045848822823E-2"/>
          <c:y val="7.5268817204301092E-2"/>
          <c:w val="0.93060718711276336"/>
          <c:h val="0.8118279569892477"/>
        </c:manualLayout>
      </c:layout>
      <c:bar3DChart>
        <c:barDir val="col"/>
        <c:grouping val="clustered"/>
        <c:varyColors val="0"/>
        <c:ser>
          <c:idx val="0"/>
          <c:order val="0"/>
          <c:tx>
            <c:strRef>
              <c:f>Sheet1!$A$2</c:f>
              <c:strCache>
                <c:ptCount val="1"/>
              </c:strCache>
            </c:strRef>
          </c:tx>
          <c:spPr>
            <a:pattFill prst="wdDnDiag">
              <a:fgClr>
                <a:srgbClr val="CC99FF"/>
              </a:fgClr>
              <a:bgClr>
                <a:srgbClr val="FFFFFF"/>
              </a:bgClr>
            </a:pattFill>
            <a:ln w="10803">
              <a:solidFill>
                <a:srgbClr val="000000"/>
              </a:solidFill>
              <a:prstDash val="solid"/>
            </a:ln>
          </c:spPr>
          <c:invertIfNegative val="0"/>
          <c:dLbls>
            <c:dLbl>
              <c:idx val="0"/>
              <c:layout>
                <c:manualLayout>
                  <c:x val="9.7535998065949297E-3"/>
                  <c:y val="-2.5449541017700292E-2"/>
                </c:manualLayout>
              </c:layout>
              <c:showLegendKey val="0"/>
              <c:showVal val="1"/>
              <c:showCatName val="0"/>
              <c:showSerName val="0"/>
              <c:showPercent val="0"/>
              <c:showBubbleSize val="0"/>
            </c:dLbl>
            <c:dLbl>
              <c:idx val="1"/>
              <c:layout>
                <c:manualLayout>
                  <c:x val="4.3592352963233924E-3"/>
                  <c:y val="-1.2010531801623446E-2"/>
                </c:manualLayout>
              </c:layout>
              <c:showLegendKey val="0"/>
              <c:showVal val="1"/>
              <c:showCatName val="0"/>
              <c:showSerName val="0"/>
              <c:showPercent val="0"/>
              <c:showBubbleSize val="0"/>
            </c:dLbl>
            <c:dLbl>
              <c:idx val="2"/>
              <c:layout>
                <c:manualLayout>
                  <c:x val="3.757203054422524E-3"/>
                  <c:y val="-1.4453166029986968E-2"/>
                </c:manualLayout>
              </c:layout>
              <c:showLegendKey val="0"/>
              <c:showVal val="1"/>
              <c:showCatName val="0"/>
              <c:showSerName val="0"/>
              <c:showPercent val="0"/>
              <c:showBubbleSize val="0"/>
            </c:dLbl>
            <c:dLbl>
              <c:idx val="3"/>
              <c:layout>
                <c:manualLayout>
                  <c:x val="3.1551708125218299E-3"/>
                  <c:y val="-3.9808585140768647E-3"/>
                </c:manualLayout>
              </c:layout>
              <c:showLegendKey val="0"/>
              <c:showVal val="1"/>
              <c:showCatName val="0"/>
              <c:showSerName val="0"/>
              <c:showPercent val="0"/>
              <c:showBubbleSize val="0"/>
            </c:dLbl>
            <c:dLbl>
              <c:idx val="4"/>
              <c:layout>
                <c:manualLayout>
                  <c:x val="2.5531385706213197E-3"/>
                  <c:y val="-1.1215161495005324E-2"/>
                </c:manualLayout>
              </c:layout>
              <c:showLegendKey val="0"/>
              <c:showVal val="1"/>
              <c:showCatName val="0"/>
              <c:showSerName val="0"/>
              <c:showPercent val="0"/>
              <c:showBubbleSize val="0"/>
            </c:dLbl>
            <c:dLbl>
              <c:idx val="5"/>
              <c:layout>
                <c:manualLayout>
                  <c:x val="3.5485504181774325E-3"/>
                  <c:y val="-1.7691170564968658E-2"/>
                </c:manualLayout>
              </c:layout>
              <c:showLegendKey val="0"/>
              <c:showVal val="1"/>
              <c:showCatName val="0"/>
              <c:showSerName val="0"/>
              <c:showPercent val="0"/>
              <c:showBubbleSize val="0"/>
            </c:dLbl>
            <c:dLbl>
              <c:idx val="6"/>
              <c:layout>
                <c:manualLayout>
                  <c:x val="1.349074086819372E-3"/>
                  <c:y val="-7.9956951578502734E-3"/>
                </c:manualLayout>
              </c:layout>
              <c:showLegendKey val="0"/>
              <c:showVal val="1"/>
              <c:showCatName val="0"/>
              <c:showSerName val="0"/>
              <c:showPercent val="0"/>
              <c:showBubbleSize val="0"/>
            </c:dLbl>
            <c:dLbl>
              <c:idx val="7"/>
              <c:layout>
                <c:manualLayout>
                  <c:x val="7.4704184491820164E-4"/>
                  <c:y val="-8.5012244318273967E-3"/>
                </c:manualLayout>
              </c:layout>
              <c:showLegendKey val="0"/>
              <c:showVal val="1"/>
              <c:showCatName val="0"/>
              <c:showSerName val="0"/>
              <c:showPercent val="0"/>
              <c:showBubbleSize val="0"/>
            </c:dLbl>
            <c:dLbl>
              <c:idx val="8"/>
              <c:layout>
                <c:manualLayout>
                  <c:x val="1.7424536924745707E-3"/>
                  <c:y val="-1.1084485395191692E-2"/>
                </c:manualLayout>
              </c:layout>
              <c:showLegendKey val="0"/>
              <c:showVal val="1"/>
              <c:showCatName val="0"/>
              <c:showSerName val="0"/>
              <c:showPercent val="0"/>
              <c:showBubbleSize val="0"/>
            </c:dLbl>
            <c:dLbl>
              <c:idx val="9"/>
              <c:layout>
                <c:manualLayout>
                  <c:x val="-2.0544667283387782E-3"/>
                  <c:y val="-1.004087141166291E-2"/>
                </c:manualLayout>
              </c:layout>
              <c:showLegendKey val="0"/>
              <c:showVal val="1"/>
              <c:showCatName val="0"/>
              <c:showSerName val="0"/>
              <c:showPercent val="0"/>
              <c:showBubbleSize val="0"/>
            </c:dLbl>
            <c:dLbl>
              <c:idx val="10"/>
              <c:layout>
                <c:manualLayout>
                  <c:x val="2.4990482481854611E-3"/>
                  <c:y val="-2.6276793949462432E-2"/>
                </c:manualLayout>
              </c:layout>
              <c:showLegendKey val="0"/>
              <c:showVal val="1"/>
              <c:showCatName val="0"/>
              <c:showSerName val="0"/>
              <c:showPercent val="0"/>
              <c:showBubbleSize val="0"/>
            </c:dLbl>
            <c:dLbl>
              <c:idx val="11"/>
              <c:layout>
                <c:manualLayout>
                  <c:x val="-6.3643033227244144E-5"/>
                  <c:y val="-1.1580518391498077E-2"/>
                </c:manualLayout>
              </c:layout>
              <c:showLegendKey val="0"/>
              <c:showVal val="1"/>
              <c:showCatName val="0"/>
              <c:showSerName val="0"/>
              <c:showPercent val="0"/>
              <c:showBubbleSize val="0"/>
            </c:dLbl>
            <c:dLbl>
              <c:idx val="12"/>
              <c:layout>
                <c:manualLayout>
                  <c:x val="-3.8605634540424074E-3"/>
                  <c:y val="-2.2956267513452012E-2"/>
                </c:manualLayout>
              </c:layout>
              <c:showLegendKey val="0"/>
              <c:showVal val="1"/>
              <c:showCatName val="0"/>
              <c:showSerName val="0"/>
              <c:showPercent val="0"/>
              <c:showBubbleSize val="0"/>
            </c:dLbl>
            <c:dLbl>
              <c:idx val="13"/>
              <c:layout>
                <c:manualLayout>
                  <c:x val="1.1222103794233553E-2"/>
                  <c:y val="-3.8563657630282307E-2"/>
                </c:manualLayout>
              </c:layout>
              <c:numFmt formatCode="0.0" sourceLinked="0"/>
              <c:spPr>
                <a:noFill/>
                <a:ln w="21605">
                  <a:noFill/>
                </a:ln>
              </c:spPr>
              <c:txPr>
                <a:bodyPr/>
                <a:lstStyle/>
                <a:p>
                  <a:pPr algn="just">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dLbl>
            <c:dLbl>
              <c:idx val="14"/>
              <c:layout>
                <c:manualLayout>
                  <c:x val="-2.7209049269822277E-4"/>
                  <c:y val="-3.3803115793095216E-2"/>
                </c:manualLayout>
              </c:layout>
              <c:numFmt formatCode="0.0" sourceLinked="0"/>
              <c:spPr>
                <a:noFill/>
                <a:ln w="21605">
                  <a:noFill/>
                </a:ln>
              </c:spPr>
              <c:txPr>
                <a:bodyPr/>
                <a:lstStyle/>
                <a:p>
                  <a:pPr algn="just">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dLbl>
            <c:dLbl>
              <c:idx val="15"/>
              <c:layout>
                <c:manualLayout>
                  <c:xMode val="edge"/>
                  <c:yMode val="edge"/>
                  <c:x val="0.92172523961661978"/>
                  <c:y val="0.47963800904977388"/>
                </c:manualLayout>
              </c:layout>
              <c:numFmt formatCode="0.0" sourceLinked="0"/>
              <c:spPr>
                <a:noFill/>
                <a:ln w="21605">
                  <a:noFill/>
                </a:ln>
              </c:spPr>
              <c:txPr>
                <a:bodyPr/>
                <a:lstStyle/>
                <a:p>
                  <a:pPr algn="just">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dLbl>
            <c:dLbl>
              <c:idx val="16"/>
              <c:layout>
                <c:manualLayout>
                  <c:xMode val="edge"/>
                  <c:yMode val="edge"/>
                  <c:x val="0.92492012779552712"/>
                  <c:y val="0.47511312217194568"/>
                </c:manualLayout>
              </c:layout>
              <c:numFmt formatCode="0.0" sourceLinked="0"/>
              <c:spPr>
                <a:noFill/>
                <a:ln w="21605">
                  <a:noFill/>
                </a:ln>
              </c:spPr>
              <c:txPr>
                <a:bodyPr/>
                <a:lstStyle/>
                <a:p>
                  <a:pPr algn="just">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dLbl>
            <c:numFmt formatCode="0.0" sourceLinked="0"/>
            <c:spPr>
              <a:noFill/>
              <a:ln w="21605">
                <a:noFill/>
              </a:ln>
            </c:spPr>
            <c:txPr>
              <a:bodyPr/>
              <a:lstStyle/>
              <a:p>
                <a:pPr algn="just">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Sheet1!$B$1:$T$1</c:f>
              <c:numCache>
                <c:formatCode>General</c:formatCode>
                <c:ptCount val="1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numCache>
            </c:numRef>
          </c:cat>
          <c:val>
            <c:numRef>
              <c:f>Sheet1!$B$2:$T$2</c:f>
              <c:numCache>
                <c:formatCode>General</c:formatCode>
                <c:ptCount val="15"/>
                <c:pt idx="0">
                  <c:v>58.8</c:v>
                </c:pt>
                <c:pt idx="1">
                  <c:v>63.6</c:v>
                </c:pt>
                <c:pt idx="2">
                  <c:v>53.3</c:v>
                </c:pt>
                <c:pt idx="3">
                  <c:v>53</c:v>
                </c:pt>
                <c:pt idx="4">
                  <c:v>48.8</c:v>
                </c:pt>
                <c:pt idx="5">
                  <c:v>57.8</c:v>
                </c:pt>
                <c:pt idx="6">
                  <c:v>58.3</c:v>
                </c:pt>
                <c:pt idx="7">
                  <c:v>49.5</c:v>
                </c:pt>
                <c:pt idx="8">
                  <c:v>47.5</c:v>
                </c:pt>
                <c:pt idx="9">
                  <c:v>40.6</c:v>
                </c:pt>
                <c:pt idx="10">
                  <c:v>27.4</c:v>
                </c:pt>
                <c:pt idx="11">
                  <c:v>31.7</c:v>
                </c:pt>
                <c:pt idx="12">
                  <c:v>35.9</c:v>
                </c:pt>
                <c:pt idx="13">
                  <c:v>32.200000000000003</c:v>
                </c:pt>
                <c:pt idx="14">
                  <c:v>28.9</c:v>
                </c:pt>
              </c:numCache>
            </c:numRef>
          </c:val>
        </c:ser>
        <c:dLbls>
          <c:showLegendKey val="0"/>
          <c:showVal val="1"/>
          <c:showCatName val="0"/>
          <c:showSerName val="0"/>
          <c:showPercent val="0"/>
          <c:showBubbleSize val="0"/>
        </c:dLbls>
        <c:gapWidth val="50"/>
        <c:gapDepth val="0"/>
        <c:shape val="cylinder"/>
        <c:axId val="413560192"/>
        <c:axId val="416355456"/>
        <c:axId val="0"/>
      </c:bar3DChart>
      <c:catAx>
        <c:axId val="413560192"/>
        <c:scaling>
          <c:orientation val="minMax"/>
        </c:scaling>
        <c:delete val="0"/>
        <c:axPos val="b"/>
        <c:numFmt formatCode="General" sourceLinked="1"/>
        <c:majorTickMark val="out"/>
        <c:minorTickMark val="none"/>
        <c:tickLblPos val="nextTo"/>
        <c:spPr>
          <a:ln w="10803">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416355456"/>
        <c:crosses val="autoZero"/>
        <c:auto val="1"/>
        <c:lblAlgn val="ctr"/>
        <c:lblOffset val="100"/>
        <c:tickLblSkip val="1"/>
        <c:tickMarkSkip val="1"/>
        <c:noMultiLvlLbl val="0"/>
      </c:catAx>
      <c:valAx>
        <c:axId val="416355456"/>
        <c:scaling>
          <c:orientation val="minMax"/>
          <c:min val="20"/>
        </c:scaling>
        <c:delete val="0"/>
        <c:axPos val="r"/>
        <c:title>
          <c:tx>
            <c:rich>
              <a:bodyPr rot="-5400000" vert="horz"/>
              <a:lstStyle/>
              <a:p>
                <a:pPr>
                  <a:defRPr sz="1100" baseline="0"/>
                </a:pPr>
                <a:r>
                  <a:rPr lang="ru-RU" sz="1100" baseline="0"/>
                  <a:t>в процентах</a:t>
                </a:r>
              </a:p>
            </c:rich>
          </c:tx>
          <c:layout>
            <c:manualLayout>
              <c:xMode val="edge"/>
              <c:yMode val="edge"/>
              <c:x val="0.96020723762933202"/>
              <c:y val="0.41158356311400168"/>
            </c:manualLayout>
          </c:layout>
          <c:overlay val="0"/>
        </c:title>
        <c:numFmt formatCode="General" sourceLinked="1"/>
        <c:majorTickMark val="out"/>
        <c:minorTickMark val="none"/>
        <c:tickLblPos val="nextTo"/>
        <c:spPr>
          <a:ln w="2701">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413560192"/>
        <c:crosses val="max"/>
        <c:crossBetween val="between"/>
      </c:valAx>
      <c:spPr>
        <a:noFill/>
        <a:ln w="21605">
          <a:noFill/>
        </a:ln>
      </c:spPr>
    </c:plotArea>
    <c:plotVisOnly val="1"/>
    <c:dispBlanksAs val="gap"/>
    <c:showDLblsOverMax val="0"/>
  </c:chart>
  <c:spPr>
    <a:noFill/>
    <a:ln w="32408" cap="flat" cmpd="dbl" algn="ctr">
      <a:solidFill>
        <a:srgbClr val="000000"/>
      </a:solidFill>
      <a:prstDash val="solid"/>
      <a:miter lim="800000"/>
      <a:headEnd type="none" w="med" len="med"/>
      <a:tailEnd type="none" w="med" len="med"/>
    </a:ln>
  </c:spPr>
  <c:txPr>
    <a:bodyPr/>
    <a:lstStyle/>
    <a:p>
      <a:pPr>
        <a:defRPr sz="680" b="0" i="0" u="none" strike="noStrike" baseline="0">
          <a:solidFill>
            <a:srgbClr val="000000"/>
          </a:solidFill>
          <a:latin typeface="Arial"/>
          <a:ea typeface="Arial"/>
          <a:cs typeface="Arial"/>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753779697624439E-2"/>
          <c:y val="7.4204946996466514E-2"/>
          <c:w val="0.85745140388768903"/>
          <c:h val="0.80212014134275456"/>
        </c:manualLayout>
      </c:layout>
      <c:lineChart>
        <c:grouping val="standard"/>
        <c:varyColors val="0"/>
        <c:ser>
          <c:idx val="1"/>
          <c:order val="0"/>
          <c:tx>
            <c:strRef>
              <c:f>Лист1!$B$1</c:f>
              <c:strCache>
                <c:ptCount val="1"/>
                <c:pt idx="0">
                  <c:v>Индекс потребительских цен на товары и услуги </c:v>
                </c:pt>
              </c:strCache>
            </c:strRef>
          </c:tx>
          <c:spPr>
            <a:ln w="25389">
              <a:solidFill>
                <a:srgbClr val="FF0000"/>
              </a:solidFill>
              <a:prstDash val="solid"/>
            </a:ln>
          </c:spPr>
          <c:marker>
            <c:symbol val="x"/>
            <c:size val="6"/>
            <c:spPr>
              <a:solidFill>
                <a:srgbClr val="FFFFFF"/>
              </a:solidFill>
              <a:ln>
                <a:solidFill>
                  <a:srgbClr val="FF0000"/>
                </a:solidFill>
                <a:prstDash val="solid"/>
              </a:ln>
            </c:spPr>
          </c:marker>
          <c:cat>
            <c:numRef>
              <c:f>Лист1!$A$2:$A$11</c:f>
              <c:numCache>
                <c:formatCode>General</c:formatCode>
                <c:ptCount val="10"/>
                <c:pt idx="0">
                  <c:v>1991</c:v>
                </c:pt>
                <c:pt idx="1">
                  <c:v>1992</c:v>
                </c:pt>
                <c:pt idx="2">
                  <c:v>1993</c:v>
                </c:pt>
                <c:pt idx="3">
                  <c:v>1994</c:v>
                </c:pt>
                <c:pt idx="4">
                  <c:v>1995</c:v>
                </c:pt>
                <c:pt idx="5">
                  <c:v>1996</c:v>
                </c:pt>
                <c:pt idx="6">
                  <c:v>1997</c:v>
                </c:pt>
                <c:pt idx="7">
                  <c:v>1998</c:v>
                </c:pt>
                <c:pt idx="8">
                  <c:v>1999</c:v>
                </c:pt>
                <c:pt idx="9">
                  <c:v>2000</c:v>
                </c:pt>
              </c:numCache>
            </c:numRef>
          </c:cat>
          <c:val>
            <c:numRef>
              <c:f>Лист1!$B$2:$B$11</c:f>
              <c:numCache>
                <c:formatCode>0.0</c:formatCode>
                <c:ptCount val="10"/>
                <c:pt idx="0">
                  <c:v>271.8</c:v>
                </c:pt>
                <c:pt idx="1">
                  <c:v>2197.6999999999998</c:v>
                </c:pt>
                <c:pt idx="2">
                  <c:v>858.8</c:v>
                </c:pt>
                <c:pt idx="3">
                  <c:v>276.10000000000002</c:v>
                </c:pt>
                <c:pt idx="4">
                  <c:v>231.7</c:v>
                </c:pt>
              </c:numCache>
            </c:numRef>
          </c:val>
          <c:smooth val="1"/>
        </c:ser>
        <c:dLbls>
          <c:showLegendKey val="0"/>
          <c:showVal val="0"/>
          <c:showCatName val="0"/>
          <c:showSerName val="0"/>
          <c:showPercent val="0"/>
          <c:showBubbleSize val="0"/>
        </c:dLbls>
        <c:marker val="1"/>
        <c:smooth val="0"/>
        <c:axId val="402016896"/>
        <c:axId val="402072320"/>
      </c:lineChart>
      <c:lineChart>
        <c:grouping val="standard"/>
        <c:varyColors val="0"/>
        <c:ser>
          <c:idx val="2"/>
          <c:order val="1"/>
          <c:tx>
            <c:strRef>
              <c:f>Лист1!$D$1</c:f>
              <c:strCache>
                <c:ptCount val="1"/>
                <c:pt idx="0">
                  <c:v>Индекс потребительских цен на товары и услуги </c:v>
                </c:pt>
              </c:strCache>
            </c:strRef>
          </c:tx>
          <c:spPr>
            <a:ln w="25389">
              <a:solidFill>
                <a:srgbClr val="FF0000"/>
              </a:solidFill>
              <a:prstDash val="solid"/>
            </a:ln>
          </c:spPr>
          <c:marker>
            <c:symbol val="x"/>
            <c:size val="6"/>
            <c:spPr>
              <a:solidFill>
                <a:srgbClr val="FFFFFF"/>
              </a:solidFill>
              <a:ln>
                <a:solidFill>
                  <a:srgbClr val="FF0000"/>
                </a:solidFill>
                <a:prstDash val="solid"/>
              </a:ln>
            </c:spPr>
          </c:marker>
          <c:cat>
            <c:numRef>
              <c:f>Лист1!$A$2:$A$11</c:f>
              <c:numCache>
                <c:formatCode>General</c:formatCode>
                <c:ptCount val="10"/>
                <c:pt idx="0">
                  <c:v>1991</c:v>
                </c:pt>
                <c:pt idx="1">
                  <c:v>1992</c:v>
                </c:pt>
                <c:pt idx="2">
                  <c:v>1993</c:v>
                </c:pt>
                <c:pt idx="3">
                  <c:v>1994</c:v>
                </c:pt>
                <c:pt idx="4">
                  <c:v>1995</c:v>
                </c:pt>
                <c:pt idx="5">
                  <c:v>1996</c:v>
                </c:pt>
                <c:pt idx="6">
                  <c:v>1997</c:v>
                </c:pt>
                <c:pt idx="7">
                  <c:v>1998</c:v>
                </c:pt>
                <c:pt idx="8">
                  <c:v>1999</c:v>
                </c:pt>
                <c:pt idx="9">
                  <c:v>2000</c:v>
                </c:pt>
              </c:numCache>
            </c:numRef>
          </c:cat>
          <c:val>
            <c:numRef>
              <c:f>Лист1!$D$2:$D$11</c:f>
              <c:numCache>
                <c:formatCode>General</c:formatCode>
                <c:ptCount val="10"/>
                <c:pt idx="5" formatCode="0.0">
                  <c:v>128.5</c:v>
                </c:pt>
                <c:pt idx="6" formatCode="0.0">
                  <c:v>123.1</c:v>
                </c:pt>
                <c:pt idx="7" formatCode="0.0">
                  <c:v>163.19999999999999</c:v>
                </c:pt>
                <c:pt idx="8" formatCode="0.0">
                  <c:v>143.4</c:v>
                </c:pt>
                <c:pt idx="9" formatCode="0.0">
                  <c:v>123.5</c:v>
                </c:pt>
              </c:numCache>
            </c:numRef>
          </c:val>
          <c:smooth val="1"/>
        </c:ser>
        <c:dLbls>
          <c:showLegendKey val="0"/>
          <c:showVal val="0"/>
          <c:showCatName val="0"/>
          <c:showSerName val="0"/>
          <c:showPercent val="0"/>
          <c:showBubbleSize val="0"/>
        </c:dLbls>
        <c:marker val="1"/>
        <c:smooth val="0"/>
        <c:axId val="402073856"/>
        <c:axId val="413171712"/>
      </c:lineChart>
      <c:catAx>
        <c:axId val="402016896"/>
        <c:scaling>
          <c:orientation val="minMax"/>
        </c:scaling>
        <c:delete val="0"/>
        <c:axPos val="b"/>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a:pPr>
            <a:endParaRPr lang="ru-RU"/>
          </a:p>
        </c:txPr>
        <c:crossAx val="402072320"/>
        <c:crosses val="autoZero"/>
        <c:auto val="0"/>
        <c:lblAlgn val="ctr"/>
        <c:lblOffset val="100"/>
        <c:tickLblSkip val="1"/>
        <c:tickMarkSkip val="1"/>
        <c:noMultiLvlLbl val="0"/>
      </c:catAx>
      <c:valAx>
        <c:axId val="402072320"/>
        <c:scaling>
          <c:orientation val="minMax"/>
          <c:min val="100"/>
        </c:scaling>
        <c:delete val="0"/>
        <c:axPos val="l"/>
        <c:majorGridlines>
          <c:spPr>
            <a:ln w="3174">
              <a:solidFill>
                <a:srgbClr val="000000"/>
              </a:solidFill>
              <a:prstDash val="solid"/>
            </a:ln>
          </c:spPr>
        </c:majorGridlines>
        <c:numFmt formatCode="0" sourceLinked="0"/>
        <c:majorTickMark val="out"/>
        <c:minorTickMark val="none"/>
        <c:tickLblPos val="nextTo"/>
        <c:spPr>
          <a:ln w="3174">
            <a:solidFill>
              <a:srgbClr val="000000"/>
            </a:solidFill>
            <a:prstDash val="solid"/>
          </a:ln>
        </c:spPr>
        <c:txPr>
          <a:bodyPr rot="0" vert="horz"/>
          <a:lstStyle/>
          <a:p>
            <a:pPr>
              <a:defRPr/>
            </a:pPr>
            <a:endParaRPr lang="ru-RU"/>
          </a:p>
        </c:txPr>
        <c:crossAx val="402016896"/>
        <c:crosses val="autoZero"/>
        <c:crossBetween val="between"/>
      </c:valAx>
      <c:catAx>
        <c:axId val="402073856"/>
        <c:scaling>
          <c:orientation val="minMax"/>
        </c:scaling>
        <c:delete val="1"/>
        <c:axPos val="b"/>
        <c:numFmt formatCode="General" sourceLinked="1"/>
        <c:majorTickMark val="out"/>
        <c:minorTickMark val="none"/>
        <c:tickLblPos val="nextTo"/>
        <c:crossAx val="413171712"/>
        <c:crosses val="autoZero"/>
        <c:auto val="0"/>
        <c:lblAlgn val="ctr"/>
        <c:lblOffset val="100"/>
        <c:noMultiLvlLbl val="0"/>
      </c:catAx>
      <c:valAx>
        <c:axId val="413171712"/>
        <c:scaling>
          <c:orientation val="minMax"/>
          <c:min val="100"/>
        </c:scaling>
        <c:delete val="0"/>
        <c:axPos val="r"/>
        <c:numFmt formatCode="General" sourceLinked="1"/>
        <c:majorTickMark val="out"/>
        <c:minorTickMark val="none"/>
        <c:tickLblPos val="nextTo"/>
        <c:spPr>
          <a:ln w="3174">
            <a:solidFill>
              <a:srgbClr val="000000"/>
            </a:solidFill>
            <a:prstDash val="solid"/>
          </a:ln>
        </c:spPr>
        <c:txPr>
          <a:bodyPr rot="0" vert="horz"/>
          <a:lstStyle/>
          <a:p>
            <a:pPr>
              <a:defRPr/>
            </a:pPr>
            <a:endParaRPr lang="ru-RU"/>
          </a:p>
        </c:txPr>
        <c:crossAx val="402073856"/>
        <c:crosses val="max"/>
        <c:crossBetween val="between"/>
      </c:valAx>
      <c:spPr>
        <a:gradFill rotWithShape="0">
          <a:gsLst>
            <a:gs pos="0">
              <a:srgbClr val="1F497D">
                <a:lumMod val="20000"/>
                <a:lumOff val="80000"/>
              </a:srgbClr>
            </a:gs>
            <a:gs pos="50000">
              <a:srgbClr val="FFFFFF"/>
            </a:gs>
            <a:gs pos="100000">
              <a:schemeClr val="tx2">
                <a:lumMod val="20000"/>
                <a:lumOff val="80000"/>
              </a:schemeClr>
            </a:gs>
          </a:gsLst>
          <a:lin ang="0" scaled="1"/>
        </a:gradFill>
        <a:ln w="12695">
          <a:solidFill>
            <a:srgbClr val="808080"/>
          </a:solidFill>
          <a:prstDash val="solid"/>
        </a:ln>
      </c:spPr>
    </c:plotArea>
    <c:plotVisOnly val="1"/>
    <c:dispBlanksAs val="gap"/>
    <c:showDLblsOverMax val="0"/>
  </c:chart>
  <c:spPr>
    <a:noFill/>
    <a:ln>
      <a:noFill/>
    </a:ln>
  </c:spPr>
  <c:txPr>
    <a:bodyPr/>
    <a:lstStyle/>
    <a:p>
      <a:pPr>
        <a:defRPr sz="1000" b="0" i="0" u="none" strike="noStrike" baseline="0">
          <a:solidFill>
            <a:srgbClr val="000000"/>
          </a:solidFill>
          <a:latin typeface="Arial" pitchFamily="34" charset="0"/>
          <a:ea typeface="Times New Roman CYR"/>
          <a:cs typeface="Arial" pitchFamily="34" charset="0"/>
        </a:defRPr>
      </a:pPr>
      <a:endParaRPr lang="ru-RU"/>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0"/>
    <c:plotArea>
      <c:layout>
        <c:manualLayout>
          <c:layoutTarget val="inner"/>
          <c:xMode val="edge"/>
          <c:yMode val="edge"/>
          <c:x val="0.12720477704716696"/>
          <c:y val="2.6872614225017816E-2"/>
          <c:w val="0.87279522295283918"/>
          <c:h val="0.78137255048470999"/>
        </c:manualLayout>
      </c:layout>
      <c:areaChart>
        <c:grouping val="standard"/>
        <c:varyColors val="0"/>
        <c:ser>
          <c:idx val="0"/>
          <c:order val="0"/>
          <c:tx>
            <c:strRef>
              <c:f>Лист1!$B$1</c:f>
              <c:strCache>
                <c:ptCount val="1"/>
                <c:pt idx="0">
                  <c:v>Все товары и услуги</c:v>
                </c:pt>
              </c:strCache>
            </c:strRef>
          </c:tx>
          <c:spPr>
            <a:gradFill flip="none" rotWithShape="1">
              <a:gsLst>
                <a:gs pos="0">
                  <a:srgbClr val="C00000"/>
                </a:gs>
                <a:gs pos="50000">
                  <a:srgbClr val="F79646">
                    <a:lumMod val="75000"/>
                  </a:srgbClr>
                </a:gs>
                <a:gs pos="100000">
                  <a:srgbClr val="C00000"/>
                </a:gs>
              </a:gsLst>
              <a:lin ang="0" scaled="1"/>
              <a:tileRect/>
            </a:gradFill>
          </c:spPr>
          <c:cat>
            <c:numRef>
              <c:f>Лист1!$A$2:$A$12</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Лист1!$B$2:$B$12</c:f>
              <c:numCache>
                <c:formatCode>General</c:formatCode>
                <c:ptCount val="11"/>
                <c:pt idx="0">
                  <c:v>128.1</c:v>
                </c:pt>
                <c:pt idx="1">
                  <c:v>151.15</c:v>
                </c:pt>
                <c:pt idx="2">
                  <c:v>173.20999999999998</c:v>
                </c:pt>
                <c:pt idx="3">
                  <c:v>199.02</c:v>
                </c:pt>
                <c:pt idx="4">
                  <c:v>220.51</c:v>
                </c:pt>
                <c:pt idx="5">
                  <c:v>239.26</c:v>
                </c:pt>
                <c:pt idx="6">
                  <c:v>272.27999999999969</c:v>
                </c:pt>
                <c:pt idx="7">
                  <c:v>310.67</c:v>
                </c:pt>
                <c:pt idx="8">
                  <c:v>334.28</c:v>
                </c:pt>
                <c:pt idx="9">
                  <c:v>369.71</c:v>
                </c:pt>
                <c:pt idx="10">
                  <c:v>394.33</c:v>
                </c:pt>
              </c:numCache>
            </c:numRef>
          </c:val>
        </c:ser>
        <c:dLbls>
          <c:showLegendKey val="0"/>
          <c:showVal val="0"/>
          <c:showCatName val="0"/>
          <c:showSerName val="0"/>
          <c:showPercent val="0"/>
          <c:showBubbleSize val="0"/>
        </c:dLbls>
        <c:axId val="480064640"/>
        <c:axId val="480066176"/>
      </c:areaChart>
      <c:lineChart>
        <c:grouping val="standard"/>
        <c:varyColors val="0"/>
        <c:ser>
          <c:idx val="1"/>
          <c:order val="1"/>
          <c:tx>
            <c:strRef>
              <c:f>Лист1!$C$1</c:f>
              <c:strCache>
                <c:ptCount val="1"/>
                <c:pt idx="0">
                  <c:v>Товары</c:v>
                </c:pt>
              </c:strCache>
            </c:strRef>
          </c:tx>
          <c:spPr>
            <a:ln>
              <a:solidFill>
                <a:schemeClr val="accent6">
                  <a:lumMod val="40000"/>
                  <a:lumOff val="60000"/>
                </a:schemeClr>
              </a:solidFill>
            </a:ln>
          </c:spPr>
          <c:marker>
            <c:symbol val="diamond"/>
            <c:size val="15"/>
            <c:spPr>
              <a:solidFill>
                <a:schemeClr val="accent6">
                  <a:lumMod val="40000"/>
                  <a:lumOff val="60000"/>
                </a:schemeClr>
              </a:solidFill>
            </c:spPr>
          </c:marker>
          <c:cat>
            <c:numRef>
              <c:f>Лист1!$A$2:$A$12</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Лист1!$C$2:$C$12</c:f>
              <c:numCache>
                <c:formatCode>General</c:formatCode>
                <c:ptCount val="11"/>
                <c:pt idx="0">
                  <c:v>119.94000000000017</c:v>
                </c:pt>
                <c:pt idx="1">
                  <c:v>137.57</c:v>
                </c:pt>
                <c:pt idx="2">
                  <c:v>156.56</c:v>
                </c:pt>
                <c:pt idx="3">
                  <c:v>173.78</c:v>
                </c:pt>
                <c:pt idx="4">
                  <c:v>191.33</c:v>
                </c:pt>
                <c:pt idx="5">
                  <c:v>205.3</c:v>
                </c:pt>
                <c:pt idx="6">
                  <c:v>233.63</c:v>
                </c:pt>
                <c:pt idx="7">
                  <c:v>265.87</c:v>
                </c:pt>
                <c:pt idx="8">
                  <c:v>283.14999999999998</c:v>
                </c:pt>
                <c:pt idx="9">
                  <c:v>314.28999999999934</c:v>
                </c:pt>
                <c:pt idx="10">
                  <c:v>332.77</c:v>
                </c:pt>
              </c:numCache>
            </c:numRef>
          </c:val>
          <c:smooth val="0"/>
        </c:ser>
        <c:ser>
          <c:idx val="2"/>
          <c:order val="2"/>
          <c:tx>
            <c:strRef>
              <c:f>Лист1!$D$1</c:f>
              <c:strCache>
                <c:ptCount val="1"/>
                <c:pt idx="0">
                  <c:v>Услуги</c:v>
                </c:pt>
              </c:strCache>
            </c:strRef>
          </c:tx>
          <c:cat>
            <c:numRef>
              <c:f>Лист1!$A$2:$A$12</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Лист1!$D$2:$D$12</c:f>
              <c:numCache>
                <c:formatCode>General</c:formatCode>
                <c:ptCount val="11"/>
                <c:pt idx="0">
                  <c:v>185.6</c:v>
                </c:pt>
                <c:pt idx="1">
                  <c:v>255.7</c:v>
                </c:pt>
                <c:pt idx="2">
                  <c:v>301.97999999999934</c:v>
                </c:pt>
                <c:pt idx="3">
                  <c:v>401.64000000000038</c:v>
                </c:pt>
                <c:pt idx="4">
                  <c:v>456.26</c:v>
                </c:pt>
                <c:pt idx="5">
                  <c:v>516.49</c:v>
                </c:pt>
                <c:pt idx="6">
                  <c:v>587.25</c:v>
                </c:pt>
                <c:pt idx="7">
                  <c:v>678.85999999999865</c:v>
                </c:pt>
                <c:pt idx="8">
                  <c:v>754.21</c:v>
                </c:pt>
                <c:pt idx="9">
                  <c:v>821.32999999999947</c:v>
                </c:pt>
                <c:pt idx="10">
                  <c:v>895.25</c:v>
                </c:pt>
              </c:numCache>
            </c:numRef>
          </c:val>
          <c:smooth val="0"/>
        </c:ser>
        <c:dLbls>
          <c:showLegendKey val="0"/>
          <c:showVal val="0"/>
          <c:showCatName val="0"/>
          <c:showSerName val="0"/>
          <c:showPercent val="0"/>
          <c:showBubbleSize val="0"/>
        </c:dLbls>
        <c:marker val="1"/>
        <c:smooth val="0"/>
        <c:axId val="480064640"/>
        <c:axId val="480066176"/>
      </c:lineChart>
      <c:catAx>
        <c:axId val="480064640"/>
        <c:scaling>
          <c:orientation val="minMax"/>
        </c:scaling>
        <c:delete val="0"/>
        <c:axPos val="b"/>
        <c:numFmt formatCode="General" sourceLinked="1"/>
        <c:majorTickMark val="out"/>
        <c:minorTickMark val="none"/>
        <c:tickLblPos val="nextTo"/>
        <c:txPr>
          <a:bodyPr/>
          <a:lstStyle/>
          <a:p>
            <a:pPr>
              <a:defRPr b="1"/>
            </a:pPr>
            <a:endParaRPr lang="ru-RU"/>
          </a:p>
        </c:txPr>
        <c:crossAx val="480066176"/>
        <c:crosses val="autoZero"/>
        <c:auto val="1"/>
        <c:lblAlgn val="ctr"/>
        <c:lblOffset val="100"/>
        <c:noMultiLvlLbl val="0"/>
      </c:catAx>
      <c:valAx>
        <c:axId val="480066176"/>
        <c:scaling>
          <c:orientation val="minMax"/>
          <c:min val="100"/>
        </c:scaling>
        <c:delete val="0"/>
        <c:axPos val="l"/>
        <c:majorGridlines/>
        <c:numFmt formatCode="General" sourceLinked="1"/>
        <c:majorTickMark val="out"/>
        <c:minorTickMark val="none"/>
        <c:tickLblPos val="nextTo"/>
        <c:crossAx val="480064640"/>
        <c:crosses val="autoZero"/>
        <c:crossBetween val="between"/>
      </c:valAx>
    </c:plotArea>
    <c:legend>
      <c:legendPos val="b"/>
      <c:overlay val="0"/>
    </c:legend>
    <c:plotVisOnly val="1"/>
    <c:dispBlanksAs val="gap"/>
    <c:showDLblsOverMax val="0"/>
  </c:chart>
  <c:spPr>
    <a:ln>
      <a:noFill/>
    </a:ln>
  </c:spPr>
  <c:txPr>
    <a:bodyPr/>
    <a:lstStyle/>
    <a:p>
      <a:pPr>
        <a:defRPr>
          <a:latin typeface="Arial" pitchFamily="34" charset="0"/>
          <a:cs typeface="Arial" pitchFamily="34"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0"/>
    <c:plotArea>
      <c:layout>
        <c:manualLayout>
          <c:layoutTarget val="inner"/>
          <c:xMode val="edge"/>
          <c:yMode val="edge"/>
          <c:x val="0.10234541577825162"/>
          <c:y val="7.2886297376094034E-2"/>
          <c:w val="0.94456289978677099"/>
          <c:h val="0.62099125364433727"/>
        </c:manualLayout>
      </c:layout>
      <c:lineChart>
        <c:grouping val="standard"/>
        <c:varyColors val="0"/>
        <c:ser>
          <c:idx val="0"/>
          <c:order val="0"/>
          <c:tx>
            <c:strRef>
              <c:f>Лист1!$B$1</c:f>
              <c:strCache>
                <c:ptCount val="1"/>
                <c:pt idx="0">
                  <c:v>Прозводителей промышленных товаров</c:v>
                </c:pt>
              </c:strCache>
            </c:strRef>
          </c:tx>
          <c:marker>
            <c:symbol val="circle"/>
            <c:size val="15"/>
          </c:marker>
          <c:cat>
            <c:numRef>
              <c:f>Лист1!$A$2:$A$12</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Лист1!$B$2:$B$12</c:f>
              <c:numCache>
                <c:formatCode>General</c:formatCode>
                <c:ptCount val="11"/>
                <c:pt idx="0">
                  <c:v>118.2</c:v>
                </c:pt>
                <c:pt idx="1">
                  <c:v>132.03</c:v>
                </c:pt>
                <c:pt idx="2">
                  <c:v>158.44</c:v>
                </c:pt>
                <c:pt idx="3">
                  <c:v>180.93</c:v>
                </c:pt>
                <c:pt idx="4">
                  <c:v>201.01</c:v>
                </c:pt>
                <c:pt idx="5">
                  <c:v>218.91</c:v>
                </c:pt>
                <c:pt idx="6">
                  <c:v>245.39000000000001</c:v>
                </c:pt>
                <c:pt idx="7">
                  <c:v>273.86</c:v>
                </c:pt>
                <c:pt idx="8">
                  <c:v>290.83999999999969</c:v>
                </c:pt>
                <c:pt idx="9">
                  <c:v>313.52999999999969</c:v>
                </c:pt>
                <c:pt idx="10">
                  <c:v>345.51</c:v>
                </c:pt>
              </c:numCache>
            </c:numRef>
          </c:val>
          <c:smooth val="0"/>
        </c:ser>
        <c:ser>
          <c:idx val="1"/>
          <c:order val="1"/>
          <c:tx>
            <c:strRef>
              <c:f>Лист1!$C$1</c:f>
              <c:strCache>
                <c:ptCount val="1"/>
                <c:pt idx="0">
                  <c:v>Произодителей сельскоозяйственной продукции</c:v>
                </c:pt>
              </c:strCache>
            </c:strRef>
          </c:tx>
          <c:spPr>
            <a:ln>
              <a:solidFill>
                <a:srgbClr val="F79646">
                  <a:lumMod val="40000"/>
                  <a:lumOff val="60000"/>
                </a:srgbClr>
              </a:solidFill>
            </a:ln>
          </c:spPr>
          <c:marker>
            <c:symbol val="diamond"/>
            <c:size val="15"/>
            <c:spPr>
              <a:solidFill>
                <a:schemeClr val="accent6">
                  <a:lumMod val="40000"/>
                  <a:lumOff val="60000"/>
                </a:schemeClr>
              </a:solidFill>
            </c:spPr>
          </c:marker>
          <c:cat>
            <c:numRef>
              <c:f>Лист1!$A$2:$A$12</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Лист1!$C$2:$C$12</c:f>
              <c:numCache>
                <c:formatCode>General</c:formatCode>
                <c:ptCount val="11"/>
                <c:pt idx="0">
                  <c:v>121.8</c:v>
                </c:pt>
                <c:pt idx="1">
                  <c:v>119.94000000000017</c:v>
                </c:pt>
                <c:pt idx="2">
                  <c:v>147.29</c:v>
                </c:pt>
                <c:pt idx="3">
                  <c:v>188.3</c:v>
                </c:pt>
                <c:pt idx="4">
                  <c:v>202.60999999999999</c:v>
                </c:pt>
                <c:pt idx="5">
                  <c:v>214.36</c:v>
                </c:pt>
                <c:pt idx="6">
                  <c:v>303.87</c:v>
                </c:pt>
                <c:pt idx="7">
                  <c:v>315.33</c:v>
                </c:pt>
                <c:pt idx="8">
                  <c:v>290.33</c:v>
                </c:pt>
                <c:pt idx="9">
                  <c:v>373.34000000000032</c:v>
                </c:pt>
                <c:pt idx="10">
                  <c:v>373.15000000000032</c:v>
                </c:pt>
              </c:numCache>
            </c:numRef>
          </c:val>
          <c:smooth val="0"/>
        </c:ser>
        <c:ser>
          <c:idx val="2"/>
          <c:order val="2"/>
          <c:tx>
            <c:strRef>
              <c:f>Лист1!$D$1</c:f>
              <c:strCache>
                <c:ptCount val="1"/>
                <c:pt idx="0">
                  <c:v>Сводный индекс цен строительной продукции</c:v>
                </c:pt>
              </c:strCache>
            </c:strRef>
          </c:tx>
          <c:cat>
            <c:numRef>
              <c:f>Лист1!$A$2:$A$12</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Лист1!$D$2:$D$12</c:f>
              <c:numCache>
                <c:formatCode>General</c:formatCode>
                <c:ptCount val="11"/>
                <c:pt idx="0">
                  <c:v>111.6</c:v>
                </c:pt>
                <c:pt idx="1">
                  <c:v>121.64</c:v>
                </c:pt>
                <c:pt idx="2">
                  <c:v>131.73999999999998</c:v>
                </c:pt>
                <c:pt idx="3">
                  <c:v>149.13</c:v>
                </c:pt>
                <c:pt idx="4">
                  <c:v>164.94</c:v>
                </c:pt>
                <c:pt idx="5">
                  <c:v>184.4</c:v>
                </c:pt>
                <c:pt idx="6">
                  <c:v>219.25</c:v>
                </c:pt>
                <c:pt idx="7">
                  <c:v>267.05</c:v>
                </c:pt>
                <c:pt idx="8">
                  <c:v>269.72000000000003</c:v>
                </c:pt>
                <c:pt idx="9">
                  <c:v>289.7</c:v>
                </c:pt>
                <c:pt idx="10">
                  <c:v>307.37</c:v>
                </c:pt>
              </c:numCache>
            </c:numRef>
          </c:val>
          <c:smooth val="0"/>
        </c:ser>
        <c:dLbls>
          <c:showLegendKey val="0"/>
          <c:showVal val="0"/>
          <c:showCatName val="0"/>
          <c:showSerName val="0"/>
          <c:showPercent val="0"/>
          <c:showBubbleSize val="0"/>
        </c:dLbls>
        <c:marker val="1"/>
        <c:smooth val="0"/>
        <c:axId val="480321536"/>
        <c:axId val="480323072"/>
      </c:lineChart>
      <c:catAx>
        <c:axId val="480321536"/>
        <c:scaling>
          <c:orientation val="minMax"/>
        </c:scaling>
        <c:delete val="0"/>
        <c:axPos val="b"/>
        <c:numFmt formatCode="General" sourceLinked="1"/>
        <c:majorTickMark val="out"/>
        <c:minorTickMark val="none"/>
        <c:tickLblPos val="nextTo"/>
        <c:txPr>
          <a:bodyPr/>
          <a:lstStyle/>
          <a:p>
            <a:pPr>
              <a:defRPr b="1"/>
            </a:pPr>
            <a:endParaRPr lang="ru-RU"/>
          </a:p>
        </c:txPr>
        <c:crossAx val="480323072"/>
        <c:crosses val="autoZero"/>
        <c:auto val="1"/>
        <c:lblAlgn val="ctr"/>
        <c:lblOffset val="100"/>
        <c:noMultiLvlLbl val="0"/>
      </c:catAx>
      <c:valAx>
        <c:axId val="480323072"/>
        <c:scaling>
          <c:orientation val="minMax"/>
          <c:min val="100"/>
        </c:scaling>
        <c:delete val="0"/>
        <c:axPos val="l"/>
        <c:majorGridlines/>
        <c:numFmt formatCode="General" sourceLinked="1"/>
        <c:majorTickMark val="out"/>
        <c:minorTickMark val="none"/>
        <c:tickLblPos val="nextTo"/>
        <c:crossAx val="480321536"/>
        <c:crosses val="autoZero"/>
        <c:crossBetween val="between"/>
      </c:valAx>
      <c:spPr>
        <a:ln>
          <a:noFill/>
        </a:ln>
      </c:spPr>
    </c:plotArea>
    <c:legend>
      <c:legendPos val="b"/>
      <c:overlay val="0"/>
    </c:legend>
    <c:plotVisOnly val="1"/>
    <c:dispBlanksAs val="gap"/>
    <c:showDLblsOverMax val="0"/>
  </c:chart>
  <c:spPr>
    <a:ln>
      <a:noFill/>
    </a:ln>
  </c:spPr>
  <c:txPr>
    <a:bodyPr/>
    <a:lstStyle/>
    <a:p>
      <a:pPr>
        <a:defRPr>
          <a:latin typeface="Arial" pitchFamily="34" charset="0"/>
          <a:cs typeface="Arial" pitchFamily="34"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20"/>
      <c:rotY val="11"/>
      <c:depthPercent val="140"/>
      <c:rAngAx val="1"/>
    </c:view3D>
    <c:floor>
      <c:thickness val="0"/>
    </c:floor>
    <c:sideWall>
      <c:thickness val="0"/>
      <c:spPr>
        <a:blipFill>
          <a:blip xmlns:r="http://schemas.openxmlformats.org/officeDocument/2006/relationships" r:embed="rId2"/>
          <a:stretch>
            <a:fillRect l="35000" t="43000" r="-8000" b="-5000"/>
          </a:stretch>
        </a:blipFill>
      </c:spPr>
    </c:sideWall>
    <c:backWall>
      <c:thickness val="0"/>
      <c:spPr>
        <a:blipFill>
          <a:blip xmlns:r="http://schemas.openxmlformats.org/officeDocument/2006/relationships" r:embed="rId2"/>
          <a:stretch>
            <a:fillRect l="35000" t="43000" r="-8000" b="-5000"/>
          </a:stretch>
        </a:blipFill>
      </c:spPr>
      <c:pictureOptions>
        <c:pictureFormat val="stretch"/>
      </c:pictureOptions>
    </c:backWall>
    <c:plotArea>
      <c:layout>
        <c:manualLayout>
          <c:layoutTarget val="inner"/>
          <c:xMode val="edge"/>
          <c:yMode val="edge"/>
          <c:x val="4.4058744993324434E-2"/>
          <c:y val="4.5161290322580733E-2"/>
          <c:w val="0.87983978638185145"/>
          <c:h val="0.867741935483895"/>
        </c:manualLayout>
      </c:layout>
      <c:bar3DChart>
        <c:barDir val="bar"/>
        <c:grouping val="clustered"/>
        <c:varyColors val="0"/>
        <c:ser>
          <c:idx val="0"/>
          <c:order val="0"/>
          <c:tx>
            <c:strRef>
              <c:f>Лист1!$A$2</c:f>
              <c:strCache>
                <c:ptCount val="1"/>
                <c:pt idx="0">
                  <c:v>2010</c:v>
                </c:pt>
              </c:strCache>
            </c:strRef>
          </c:tx>
          <c:spPr>
            <a:solidFill>
              <a:srgbClr val="FFC000"/>
            </a:solidFill>
            <a:scene3d>
              <a:camera prst="orthographicFront"/>
              <a:lightRig rig="threePt" dir="t">
                <a:rot lat="0" lon="0" rev="1200000"/>
              </a:lightRig>
            </a:scene3d>
            <a:sp3d prstMaterial="dkEdge">
              <a:bevelT w="63500" h="25400"/>
            </a:sp3d>
          </c:spPr>
          <c:invertIfNegative val="0"/>
          <c:dLbls>
            <c:numFmt formatCode="0.0" sourceLinked="0"/>
            <c:spPr>
              <a:solidFill>
                <a:sysClr val="window" lastClr="FFFFFF">
                  <a:alpha val="50000"/>
                </a:sysClr>
              </a:solidFill>
            </c:spPr>
            <c:txPr>
              <a:bodyPr/>
              <a:lstStyle/>
              <a:p>
                <a:pPr>
                  <a:defRPr b="0" i="0" baseline="0">
                    <a:latin typeface="Arial" pitchFamily="34" charset="0"/>
                  </a:defRPr>
                </a:pPr>
                <a:endParaRPr lang="ru-RU"/>
              </a:p>
            </c:txPr>
            <c:showLegendKey val="0"/>
            <c:showVal val="1"/>
            <c:showCatName val="0"/>
            <c:showSerName val="0"/>
            <c:showPercent val="0"/>
            <c:showBubbleSize val="0"/>
            <c:showLeaderLines val="0"/>
          </c:dLbls>
          <c:cat>
            <c:numRef>
              <c:f>Лист1!$B$1:$G$1</c:f>
              <c:numCache>
                <c:formatCode>General</c:formatCode>
                <c:ptCount val="6"/>
                <c:pt idx="0">
                  <c:v>1</c:v>
                </c:pt>
                <c:pt idx="1">
                  <c:v>2</c:v>
                </c:pt>
                <c:pt idx="2">
                  <c:v>3</c:v>
                </c:pt>
                <c:pt idx="3">
                  <c:v>4</c:v>
                </c:pt>
                <c:pt idx="4">
                  <c:v>5</c:v>
                </c:pt>
                <c:pt idx="5">
                  <c:v>6</c:v>
                </c:pt>
              </c:numCache>
            </c:numRef>
          </c:cat>
          <c:val>
            <c:numRef>
              <c:f>Лист1!$B$2:$G$2</c:f>
              <c:numCache>
                <c:formatCode>General</c:formatCode>
                <c:ptCount val="6"/>
                <c:pt idx="0">
                  <c:v>110.6</c:v>
                </c:pt>
                <c:pt idx="1">
                  <c:v>107.8</c:v>
                </c:pt>
                <c:pt idx="2">
                  <c:v>128.6</c:v>
                </c:pt>
                <c:pt idx="3">
                  <c:v>107.4</c:v>
                </c:pt>
                <c:pt idx="4">
                  <c:v>110.1</c:v>
                </c:pt>
                <c:pt idx="5">
                  <c:v>104.3</c:v>
                </c:pt>
              </c:numCache>
            </c:numRef>
          </c:val>
        </c:ser>
        <c:ser>
          <c:idx val="1"/>
          <c:order val="1"/>
          <c:tx>
            <c:strRef>
              <c:f>Лист1!$A$3</c:f>
              <c:strCache>
                <c:ptCount val="1"/>
                <c:pt idx="0">
                  <c:v>2011</c:v>
                </c:pt>
              </c:strCache>
            </c:strRef>
          </c:tx>
          <c:spPr>
            <a:solidFill>
              <a:srgbClr val="4F81BD">
                <a:lumMod val="75000"/>
              </a:srgbClr>
            </a:solidFill>
            <a:ln>
              <a:solidFill>
                <a:sysClr val="window" lastClr="FFFFFF"/>
              </a:solidFill>
            </a:ln>
            <a:scene3d>
              <a:camera prst="orthographicFront"/>
              <a:lightRig rig="threePt" dir="t">
                <a:rot lat="0" lon="0" rev="1200000"/>
              </a:lightRig>
            </a:scene3d>
            <a:sp3d prstMaterial="dkEdge">
              <a:bevelT w="63500" h="25400"/>
              <a:contourClr>
                <a:srgbClr val="000000"/>
              </a:contourClr>
            </a:sp3d>
          </c:spPr>
          <c:invertIfNegative val="0"/>
          <c:dLbls>
            <c:numFmt formatCode="0.0" sourceLinked="0"/>
            <c:spPr>
              <a:solidFill>
                <a:sysClr val="window" lastClr="FFFFFF">
                  <a:alpha val="50000"/>
                </a:sysClr>
              </a:solidFill>
            </c:spPr>
            <c:txPr>
              <a:bodyPr/>
              <a:lstStyle/>
              <a:p>
                <a:pPr>
                  <a:defRPr b="0" i="0" baseline="0">
                    <a:latin typeface="Arial" pitchFamily="34" charset="0"/>
                  </a:defRPr>
                </a:pPr>
                <a:endParaRPr lang="ru-RU"/>
              </a:p>
            </c:txPr>
            <c:showLegendKey val="0"/>
            <c:showVal val="1"/>
            <c:showCatName val="0"/>
            <c:showSerName val="0"/>
            <c:showPercent val="0"/>
            <c:showBubbleSize val="0"/>
            <c:showLeaderLines val="0"/>
          </c:dLbls>
          <c:cat>
            <c:numRef>
              <c:f>Лист1!$B$1:$G$1</c:f>
              <c:numCache>
                <c:formatCode>General</c:formatCode>
                <c:ptCount val="6"/>
                <c:pt idx="0">
                  <c:v>1</c:v>
                </c:pt>
                <c:pt idx="1">
                  <c:v>2</c:v>
                </c:pt>
                <c:pt idx="2">
                  <c:v>3</c:v>
                </c:pt>
                <c:pt idx="3">
                  <c:v>4</c:v>
                </c:pt>
                <c:pt idx="4">
                  <c:v>5</c:v>
                </c:pt>
                <c:pt idx="5">
                  <c:v>6</c:v>
                </c:pt>
              </c:numCache>
            </c:numRef>
          </c:cat>
          <c:val>
            <c:numRef>
              <c:f>Лист1!$B$3:$G$3</c:f>
              <c:numCache>
                <c:formatCode>General</c:formatCode>
                <c:ptCount val="6"/>
                <c:pt idx="0">
                  <c:v>106.7</c:v>
                </c:pt>
                <c:pt idx="1">
                  <c:v>110.2</c:v>
                </c:pt>
                <c:pt idx="2">
                  <c:v>99.95</c:v>
                </c:pt>
                <c:pt idx="3">
                  <c:v>106.1</c:v>
                </c:pt>
                <c:pt idx="4">
                  <c:v>110.4</c:v>
                </c:pt>
                <c:pt idx="5">
                  <c:v>103.2</c:v>
                </c:pt>
              </c:numCache>
            </c:numRef>
          </c:val>
        </c:ser>
        <c:dLbls>
          <c:showLegendKey val="0"/>
          <c:showVal val="1"/>
          <c:showCatName val="0"/>
          <c:showSerName val="0"/>
          <c:showPercent val="0"/>
          <c:showBubbleSize val="0"/>
        </c:dLbls>
        <c:gapWidth val="100"/>
        <c:gapDepth val="180"/>
        <c:shape val="box"/>
        <c:axId val="480795648"/>
        <c:axId val="480809728"/>
        <c:axId val="0"/>
      </c:bar3DChart>
      <c:catAx>
        <c:axId val="480795648"/>
        <c:scaling>
          <c:orientation val="minMax"/>
        </c:scaling>
        <c:delete val="0"/>
        <c:axPos val="l"/>
        <c:majorGridlines/>
        <c:numFmt formatCode="General" sourceLinked="1"/>
        <c:majorTickMark val="out"/>
        <c:minorTickMark val="none"/>
        <c:tickLblPos val="low"/>
        <c:txPr>
          <a:bodyPr rot="0" vert="horz"/>
          <a:lstStyle/>
          <a:p>
            <a:pPr>
              <a:defRPr sz="1000" baseline="0">
                <a:latin typeface="Arial" pitchFamily="34" charset="0"/>
              </a:defRPr>
            </a:pPr>
            <a:endParaRPr lang="ru-RU"/>
          </a:p>
        </c:txPr>
        <c:crossAx val="480809728"/>
        <c:crossesAt val="90"/>
        <c:auto val="1"/>
        <c:lblAlgn val="ctr"/>
        <c:lblOffset val="100"/>
        <c:tickLblSkip val="1"/>
        <c:tickMarkSkip val="1"/>
        <c:noMultiLvlLbl val="0"/>
      </c:catAx>
      <c:valAx>
        <c:axId val="480809728"/>
        <c:scaling>
          <c:orientation val="minMax"/>
          <c:max val="130"/>
          <c:min val="90"/>
        </c:scaling>
        <c:delete val="0"/>
        <c:axPos val="b"/>
        <c:majorGridlines/>
        <c:numFmt formatCode="0" sourceLinked="0"/>
        <c:majorTickMark val="out"/>
        <c:minorTickMark val="none"/>
        <c:tickLblPos val="nextTo"/>
        <c:txPr>
          <a:bodyPr rot="0" vert="horz"/>
          <a:lstStyle/>
          <a:p>
            <a:pPr>
              <a:defRPr sz="1000" baseline="0">
                <a:latin typeface="Arial" pitchFamily="34" charset="0"/>
              </a:defRPr>
            </a:pPr>
            <a:endParaRPr lang="ru-RU"/>
          </a:p>
        </c:txPr>
        <c:crossAx val="480795648"/>
        <c:crosses val="autoZero"/>
        <c:crossBetween val="between"/>
      </c:valAx>
      <c:spPr>
        <a:noFill/>
        <a:ln w="29944">
          <a:noFill/>
        </a:ln>
      </c:spPr>
    </c:plotArea>
    <c:legend>
      <c:legendPos val="r"/>
      <c:layout>
        <c:manualLayout>
          <c:xMode val="edge"/>
          <c:yMode val="edge"/>
          <c:x val="0.90065143214092491"/>
          <c:y val="0.34398029864784141"/>
          <c:w val="8.5927770859277705E-2"/>
          <c:h val="0.27518427518428418"/>
        </c:manualLayout>
      </c:layout>
      <c:overlay val="0"/>
      <c:txPr>
        <a:bodyPr/>
        <a:lstStyle/>
        <a:p>
          <a:pPr>
            <a:defRPr sz="1000" baseline="0">
              <a:latin typeface="Arial" pitchFamily="34" charset="0"/>
            </a:defRPr>
          </a:pPr>
          <a:endParaRPr lang="ru-RU"/>
        </a:p>
      </c:txPr>
    </c:legend>
    <c:plotVisOnly val="1"/>
    <c:dispBlanksAs val="gap"/>
    <c:showDLblsOverMax val="0"/>
  </c:chart>
  <c:spPr>
    <a:ln>
      <a:noFill/>
    </a:ln>
  </c:sp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10932475884249"/>
          <c:y val="0.14201183431952671"/>
          <c:w val="0.89389067524115762"/>
          <c:h val="0.58579881656805866"/>
        </c:manualLayout>
      </c:layout>
      <c:lineChart>
        <c:grouping val="standard"/>
        <c:varyColors val="0"/>
        <c:ser>
          <c:idx val="0"/>
          <c:order val="0"/>
          <c:tx>
            <c:strRef>
              <c:f>Лист1!$A$2</c:f>
              <c:strCache>
                <c:ptCount val="1"/>
                <c:pt idx="0">
                  <c:v>продовольственные товары</c:v>
                </c:pt>
              </c:strCache>
            </c:strRef>
          </c:tx>
          <c:spPr>
            <a:ln w="38100">
              <a:solidFill>
                <a:srgbClr val="FF0000"/>
              </a:solidFill>
              <a:prstDash val="solid"/>
            </a:ln>
          </c:spPr>
          <c:marker>
            <c:symbol val="circle"/>
            <c:size val="9"/>
            <c:spPr>
              <a:solidFill>
                <a:srgbClr val="FF0000"/>
              </a:solidFill>
              <a:ln>
                <a:solidFill>
                  <a:srgbClr val="FF0000"/>
                </a:solidFill>
                <a:prstDash val="solid"/>
              </a:ln>
            </c:spPr>
          </c:marker>
          <c:cat>
            <c:numRef>
              <c:f>Лист1!$B$1:$L$1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Лист1!$B$2:$L$2</c:f>
              <c:numCache>
                <c:formatCode>General</c:formatCode>
                <c:ptCount val="11"/>
                <c:pt idx="0">
                  <c:v>122</c:v>
                </c:pt>
                <c:pt idx="1">
                  <c:v>113.6</c:v>
                </c:pt>
                <c:pt idx="2">
                  <c:v>115.5</c:v>
                </c:pt>
                <c:pt idx="3">
                  <c:v>112.5</c:v>
                </c:pt>
                <c:pt idx="4">
                  <c:v>110</c:v>
                </c:pt>
                <c:pt idx="5">
                  <c:v>107.7</c:v>
                </c:pt>
                <c:pt idx="6">
                  <c:v>117.2</c:v>
                </c:pt>
                <c:pt idx="7">
                  <c:v>116.8</c:v>
                </c:pt>
                <c:pt idx="8">
                  <c:v>104</c:v>
                </c:pt>
                <c:pt idx="9">
                  <c:v>115.1</c:v>
                </c:pt>
                <c:pt idx="10">
                  <c:v>104.3</c:v>
                </c:pt>
              </c:numCache>
            </c:numRef>
          </c:val>
          <c:smooth val="0"/>
        </c:ser>
        <c:ser>
          <c:idx val="1"/>
          <c:order val="1"/>
          <c:tx>
            <c:strRef>
              <c:f>Лист1!$A$3</c:f>
              <c:strCache>
                <c:ptCount val="1"/>
                <c:pt idx="0">
                  <c:v>Стоимость минимального набора продуктов питания</c:v>
                </c:pt>
              </c:strCache>
            </c:strRef>
          </c:tx>
          <c:spPr>
            <a:ln w="38100">
              <a:solidFill>
                <a:srgbClr val="0070C0"/>
              </a:solidFill>
              <a:prstDash val="solid"/>
            </a:ln>
          </c:spPr>
          <c:marker>
            <c:symbol val="x"/>
            <c:size val="9"/>
            <c:spPr>
              <a:noFill/>
              <a:ln w="38100">
                <a:solidFill>
                  <a:srgbClr val="0070C0"/>
                </a:solidFill>
                <a:prstDash val="solid"/>
              </a:ln>
            </c:spPr>
          </c:marker>
          <c:cat>
            <c:numRef>
              <c:f>Лист1!$B$1:$L$1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Лист1!$B$3:$L$3</c:f>
              <c:numCache>
                <c:formatCode>General</c:formatCode>
                <c:ptCount val="11"/>
                <c:pt idx="0">
                  <c:v>126</c:v>
                </c:pt>
                <c:pt idx="1">
                  <c:v>119.8</c:v>
                </c:pt>
                <c:pt idx="2">
                  <c:v>106.9</c:v>
                </c:pt>
                <c:pt idx="3">
                  <c:v>111.2</c:v>
                </c:pt>
                <c:pt idx="4">
                  <c:v>109.5</c:v>
                </c:pt>
                <c:pt idx="5">
                  <c:v>106.1</c:v>
                </c:pt>
                <c:pt idx="6">
                  <c:v>124.4</c:v>
                </c:pt>
                <c:pt idx="7">
                  <c:v>114</c:v>
                </c:pt>
                <c:pt idx="8">
                  <c:v>98</c:v>
                </c:pt>
                <c:pt idx="9">
                  <c:v>132.30000000000001</c:v>
                </c:pt>
                <c:pt idx="10">
                  <c:v>90.5</c:v>
                </c:pt>
              </c:numCache>
            </c:numRef>
          </c:val>
          <c:smooth val="0"/>
        </c:ser>
        <c:dLbls>
          <c:showLegendKey val="0"/>
          <c:showVal val="0"/>
          <c:showCatName val="0"/>
          <c:showSerName val="0"/>
          <c:showPercent val="0"/>
          <c:showBubbleSize val="0"/>
        </c:dLbls>
        <c:marker val="1"/>
        <c:smooth val="0"/>
        <c:axId val="411828992"/>
        <c:axId val="411830912"/>
      </c:lineChart>
      <c:catAx>
        <c:axId val="411828992"/>
        <c:scaling>
          <c:orientation val="minMax"/>
        </c:scaling>
        <c:delete val="0"/>
        <c:axPos val="b"/>
        <c:numFmt formatCode="General" sourceLinked="1"/>
        <c:majorTickMark val="out"/>
        <c:minorTickMark val="none"/>
        <c:tickLblPos val="low"/>
        <c:spPr>
          <a:ln w="3162">
            <a:solidFill>
              <a:srgbClr val="000000"/>
            </a:solidFill>
            <a:prstDash val="solid"/>
          </a:ln>
        </c:spPr>
        <c:txPr>
          <a:bodyPr rot="0" vert="horz"/>
          <a:lstStyle/>
          <a:p>
            <a:pPr>
              <a:defRPr sz="996" b="1" i="0" u="none" strike="noStrike" baseline="0">
                <a:solidFill>
                  <a:srgbClr val="000000"/>
                </a:solidFill>
                <a:latin typeface="Arial Cyr"/>
                <a:ea typeface="Arial Cyr"/>
                <a:cs typeface="Arial Cyr"/>
              </a:defRPr>
            </a:pPr>
            <a:endParaRPr lang="ru-RU"/>
          </a:p>
        </c:txPr>
        <c:crossAx val="411830912"/>
        <c:crossesAt val="100"/>
        <c:auto val="1"/>
        <c:lblAlgn val="ctr"/>
        <c:lblOffset val="100"/>
        <c:tickLblSkip val="1"/>
        <c:tickMarkSkip val="1"/>
        <c:noMultiLvlLbl val="0"/>
      </c:catAx>
      <c:valAx>
        <c:axId val="411830912"/>
        <c:scaling>
          <c:orientation val="minMax"/>
          <c:min val="90"/>
        </c:scaling>
        <c:delete val="0"/>
        <c:axPos val="l"/>
        <c:majorGridlines>
          <c:spPr>
            <a:ln w="3162">
              <a:solidFill>
                <a:srgbClr val="000000"/>
              </a:solidFill>
              <a:prstDash val="solid"/>
            </a:ln>
          </c:spPr>
        </c:majorGridlines>
        <c:numFmt formatCode="General" sourceLinked="1"/>
        <c:majorTickMark val="out"/>
        <c:minorTickMark val="none"/>
        <c:tickLblPos val="nextTo"/>
        <c:spPr>
          <a:ln w="3162">
            <a:solidFill>
              <a:srgbClr val="000000"/>
            </a:solidFill>
            <a:prstDash val="solid"/>
          </a:ln>
        </c:spPr>
        <c:txPr>
          <a:bodyPr rot="0" vert="horz"/>
          <a:lstStyle/>
          <a:p>
            <a:pPr>
              <a:defRPr sz="996" b="0" i="0" u="none" strike="noStrike" baseline="0">
                <a:solidFill>
                  <a:srgbClr val="000000"/>
                </a:solidFill>
                <a:latin typeface="Arial Cyr"/>
                <a:ea typeface="Arial Cyr"/>
                <a:cs typeface="Arial Cyr"/>
              </a:defRPr>
            </a:pPr>
            <a:endParaRPr lang="ru-RU"/>
          </a:p>
        </c:txPr>
        <c:crossAx val="411828992"/>
        <c:crosses val="autoZero"/>
        <c:crossBetween val="between"/>
        <c:majorUnit val="10"/>
        <c:minorUnit val="5"/>
      </c:valAx>
      <c:spPr>
        <a:noFill/>
        <a:ln w="25296">
          <a:noFill/>
        </a:ln>
      </c:spPr>
    </c:plotArea>
    <c:plotVisOnly val="0"/>
    <c:dispBlanksAs val="gap"/>
    <c:showDLblsOverMax val="0"/>
  </c:chart>
  <c:spPr>
    <a:gradFill rotWithShape="0">
      <a:gsLst>
        <a:gs pos="0">
          <a:srgbClr val="1F497D">
            <a:lumMod val="20000"/>
            <a:lumOff val="80000"/>
          </a:srgbClr>
        </a:gs>
        <a:gs pos="53000">
          <a:schemeClr val="bg1"/>
        </a:gs>
        <a:gs pos="83000">
          <a:srgbClr val="D4DEFF"/>
        </a:gs>
        <a:gs pos="100000">
          <a:srgbClr val="96AB94"/>
        </a:gs>
      </a:gsLst>
      <a:lin ang="0" scaled="0"/>
    </a:gradFill>
    <a:ln>
      <a:noFill/>
    </a:ln>
  </c:spPr>
  <c:txPr>
    <a:bodyPr/>
    <a:lstStyle/>
    <a:p>
      <a:pPr>
        <a:defRPr sz="996"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43130990415336"/>
          <c:y val="0.14814814814814894"/>
          <c:w val="0.8945686900958465"/>
          <c:h val="0.56790123456790165"/>
        </c:manualLayout>
      </c:layout>
      <c:areaChart>
        <c:grouping val="standard"/>
        <c:varyColors val="0"/>
        <c:ser>
          <c:idx val="1"/>
          <c:order val="1"/>
          <c:tx>
            <c:strRef>
              <c:f>Лист1!$A$3</c:f>
              <c:strCache>
                <c:ptCount val="1"/>
                <c:pt idx="0">
                  <c:v>непродовольственные товары</c:v>
                </c:pt>
              </c:strCache>
            </c:strRef>
          </c:tx>
          <c:spPr>
            <a:solidFill>
              <a:srgbClr val="0070C0"/>
            </a:solidFill>
            <a:ln w="12697">
              <a:solidFill>
                <a:srgbClr val="000000"/>
              </a:solidFill>
              <a:prstDash val="solid"/>
            </a:ln>
          </c:spPr>
          <c:cat>
            <c:numRef>
              <c:f>Лист1!$B$1:$L$1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Лист1!$B$3:$L$3</c:f>
              <c:numCache>
                <c:formatCode>General</c:formatCode>
                <c:ptCount val="11"/>
                <c:pt idx="0">
                  <c:v>115.5</c:v>
                </c:pt>
                <c:pt idx="1">
                  <c:v>117.1</c:v>
                </c:pt>
                <c:pt idx="2">
                  <c:v>110.1</c:v>
                </c:pt>
                <c:pt idx="3">
                  <c:v>108.4</c:v>
                </c:pt>
                <c:pt idx="4">
                  <c:v>110.3</c:v>
                </c:pt>
                <c:pt idx="5">
                  <c:v>106.8</c:v>
                </c:pt>
                <c:pt idx="6">
                  <c:v>109.1</c:v>
                </c:pt>
                <c:pt idx="7">
                  <c:v>109.4</c:v>
                </c:pt>
                <c:pt idx="8">
                  <c:v>109.9</c:v>
                </c:pt>
                <c:pt idx="9">
                  <c:v>105.5</c:v>
                </c:pt>
                <c:pt idx="10">
                  <c:v>107.9</c:v>
                </c:pt>
              </c:numCache>
            </c:numRef>
          </c:val>
        </c:ser>
        <c:dLbls>
          <c:showLegendKey val="0"/>
          <c:showVal val="0"/>
          <c:showCatName val="0"/>
          <c:showSerName val="0"/>
          <c:showPercent val="0"/>
          <c:showBubbleSize val="0"/>
        </c:dLbls>
        <c:axId val="411860352"/>
        <c:axId val="479917568"/>
      </c:areaChart>
      <c:lineChart>
        <c:grouping val="standard"/>
        <c:varyColors val="0"/>
        <c:ser>
          <c:idx val="0"/>
          <c:order val="0"/>
          <c:tx>
            <c:strRef>
              <c:f>Лист1!$A$2</c:f>
              <c:strCache>
                <c:ptCount val="1"/>
                <c:pt idx="0">
                  <c:v>продовольственные товары</c:v>
                </c:pt>
              </c:strCache>
            </c:strRef>
          </c:tx>
          <c:spPr>
            <a:ln w="38100">
              <a:solidFill>
                <a:srgbClr val="FF0000"/>
              </a:solidFill>
              <a:prstDash val="solid"/>
            </a:ln>
          </c:spPr>
          <c:marker>
            <c:symbol val="circle"/>
            <c:size val="9"/>
            <c:spPr>
              <a:solidFill>
                <a:srgbClr val="FF0000"/>
              </a:solidFill>
              <a:ln w="38100">
                <a:solidFill>
                  <a:srgbClr val="FF0000"/>
                </a:solidFill>
                <a:prstDash val="solid"/>
              </a:ln>
            </c:spPr>
          </c:marker>
          <c:cat>
            <c:numRef>
              <c:f>Лист1!$B$1:$L$1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Лист1!$B$2:$L$2</c:f>
              <c:numCache>
                <c:formatCode>General</c:formatCode>
                <c:ptCount val="11"/>
                <c:pt idx="0">
                  <c:v>122</c:v>
                </c:pt>
                <c:pt idx="1">
                  <c:v>113.6</c:v>
                </c:pt>
                <c:pt idx="2">
                  <c:v>115.5</c:v>
                </c:pt>
                <c:pt idx="3">
                  <c:v>112.5</c:v>
                </c:pt>
                <c:pt idx="4">
                  <c:v>110</c:v>
                </c:pt>
                <c:pt idx="5">
                  <c:v>107.7</c:v>
                </c:pt>
                <c:pt idx="6">
                  <c:v>117.2</c:v>
                </c:pt>
                <c:pt idx="7">
                  <c:v>116.8</c:v>
                </c:pt>
                <c:pt idx="8">
                  <c:v>104</c:v>
                </c:pt>
                <c:pt idx="9">
                  <c:v>115.1</c:v>
                </c:pt>
                <c:pt idx="10">
                  <c:v>104.3</c:v>
                </c:pt>
              </c:numCache>
            </c:numRef>
          </c:val>
          <c:smooth val="0"/>
        </c:ser>
        <c:ser>
          <c:idx val="2"/>
          <c:order val="2"/>
          <c:tx>
            <c:strRef>
              <c:f>Лист1!$A$4</c:f>
              <c:strCache>
                <c:ptCount val="1"/>
                <c:pt idx="0">
                  <c:v>Индекс потребительских цен</c:v>
                </c:pt>
              </c:strCache>
            </c:strRef>
          </c:tx>
          <c:spPr>
            <a:ln w="38100">
              <a:solidFill>
                <a:srgbClr val="0070C0"/>
              </a:solidFill>
            </a:ln>
          </c:spPr>
          <c:marker>
            <c:symbol val="circle"/>
            <c:size val="9"/>
            <c:spPr>
              <a:solidFill>
                <a:srgbClr val="0070C0"/>
              </a:solidFill>
              <a:ln w="38100">
                <a:solidFill>
                  <a:srgbClr val="0070C0"/>
                </a:solidFill>
              </a:ln>
            </c:spPr>
          </c:marker>
          <c:cat>
            <c:numRef>
              <c:f>Лист1!$B$1:$L$1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Лист1!$B$4:$L$4</c:f>
              <c:numCache>
                <c:formatCode>General</c:formatCode>
                <c:ptCount val="11"/>
                <c:pt idx="0">
                  <c:v>128.1</c:v>
                </c:pt>
                <c:pt idx="1">
                  <c:v>118</c:v>
                </c:pt>
                <c:pt idx="2">
                  <c:v>114.6</c:v>
                </c:pt>
                <c:pt idx="3">
                  <c:v>114.9</c:v>
                </c:pt>
                <c:pt idx="4">
                  <c:v>110.8</c:v>
                </c:pt>
                <c:pt idx="5">
                  <c:v>108.5</c:v>
                </c:pt>
                <c:pt idx="6">
                  <c:v>113.8</c:v>
                </c:pt>
                <c:pt idx="7">
                  <c:v>114.1</c:v>
                </c:pt>
                <c:pt idx="8">
                  <c:v>107.6</c:v>
                </c:pt>
                <c:pt idx="9">
                  <c:v>110.6</c:v>
                </c:pt>
                <c:pt idx="10">
                  <c:v>106.7</c:v>
                </c:pt>
              </c:numCache>
            </c:numRef>
          </c:val>
          <c:smooth val="0"/>
        </c:ser>
        <c:dLbls>
          <c:showLegendKey val="0"/>
          <c:showVal val="0"/>
          <c:showCatName val="0"/>
          <c:showSerName val="0"/>
          <c:showPercent val="0"/>
          <c:showBubbleSize val="0"/>
        </c:dLbls>
        <c:marker val="1"/>
        <c:smooth val="0"/>
        <c:axId val="411860352"/>
        <c:axId val="479917568"/>
      </c:lineChart>
      <c:catAx>
        <c:axId val="411860352"/>
        <c:scaling>
          <c:orientation val="minMax"/>
        </c:scaling>
        <c:delete val="0"/>
        <c:axPos val="b"/>
        <c:numFmt formatCode="General" sourceLinked="1"/>
        <c:majorTickMark val="out"/>
        <c:minorTickMark val="none"/>
        <c:tickLblPos val="nextTo"/>
        <c:spPr>
          <a:ln w="3174">
            <a:solidFill>
              <a:srgbClr val="000000"/>
            </a:solidFill>
            <a:prstDash val="solid"/>
          </a:ln>
        </c:spPr>
        <c:txPr>
          <a:bodyPr rot="0" vert="horz"/>
          <a:lstStyle/>
          <a:p>
            <a:pPr>
              <a:defRPr sz="1000" b="1" i="0" u="none" strike="noStrike" baseline="0">
                <a:solidFill>
                  <a:srgbClr val="000000"/>
                </a:solidFill>
                <a:latin typeface="Arial Cyr"/>
                <a:ea typeface="Arial Cyr"/>
                <a:cs typeface="Arial Cyr"/>
              </a:defRPr>
            </a:pPr>
            <a:endParaRPr lang="ru-RU"/>
          </a:p>
        </c:txPr>
        <c:crossAx val="479917568"/>
        <c:crossesAt val="90"/>
        <c:auto val="1"/>
        <c:lblAlgn val="ctr"/>
        <c:lblOffset val="100"/>
        <c:tickLblSkip val="1"/>
        <c:tickMarkSkip val="1"/>
        <c:noMultiLvlLbl val="0"/>
      </c:catAx>
      <c:valAx>
        <c:axId val="479917568"/>
        <c:scaling>
          <c:orientation val="minMax"/>
          <c:min val="100"/>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411860352"/>
        <c:crosses val="autoZero"/>
        <c:crossBetween val="between"/>
        <c:majorUnit val="10"/>
        <c:minorUnit val="5"/>
      </c:valAx>
      <c:spPr>
        <a:noFill/>
        <a:ln w="25395">
          <a:noFill/>
        </a:ln>
      </c:spPr>
    </c:plotArea>
    <c:plotVisOnly val="0"/>
    <c:dispBlanksAs val="gap"/>
    <c:showDLblsOverMax val="0"/>
  </c:chart>
  <c:spPr>
    <a:gradFill rotWithShape="0">
      <a:gsLst>
        <a:gs pos="0">
          <a:srgbClr val="1F497D">
            <a:lumMod val="20000"/>
            <a:lumOff val="80000"/>
          </a:srgbClr>
        </a:gs>
        <a:gs pos="53000">
          <a:schemeClr val="bg1"/>
        </a:gs>
        <a:gs pos="83000">
          <a:srgbClr val="D4DEFF"/>
        </a:gs>
        <a:gs pos="100000">
          <a:srgbClr val="96AB94"/>
        </a:gs>
      </a:gsLst>
      <a:lin ang="0" scaled="0"/>
    </a:gradFill>
    <a:ln>
      <a:noFill/>
    </a:ln>
  </c:spPr>
  <c:txPr>
    <a:bodyPr/>
    <a:lstStyle/>
    <a:p>
      <a:pPr>
        <a:defRPr sz="10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0"/>
    <c:plotArea>
      <c:layout>
        <c:manualLayout>
          <c:layoutTarget val="inner"/>
          <c:xMode val="edge"/>
          <c:yMode val="edge"/>
          <c:x val="9.6086720078916943E-2"/>
          <c:y val="3.4667254700880015E-2"/>
          <c:w val="0.87389398078864333"/>
          <c:h val="0.74116597713421462"/>
        </c:manualLayout>
      </c:layout>
      <c:barChart>
        <c:barDir val="col"/>
        <c:grouping val="clustered"/>
        <c:varyColors val="0"/>
        <c:ser>
          <c:idx val="0"/>
          <c:order val="0"/>
          <c:tx>
            <c:strRef>
              <c:f>Лист1!$A$2</c:f>
              <c:strCache>
                <c:ptCount val="1"/>
                <c:pt idx="0">
                  <c:v>Среднедушевые денежные доходы населения, рублей</c:v>
                </c:pt>
              </c:strCache>
            </c:strRef>
          </c:tx>
          <c:invertIfNegative val="0"/>
          <c:cat>
            <c:numRef>
              <c:f>Лист1!$B$1:$L$1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Лист1!$B$2:$L$2</c:f>
              <c:numCache>
                <c:formatCode>General</c:formatCode>
                <c:ptCount val="11"/>
                <c:pt idx="0">
                  <c:v>1717</c:v>
                </c:pt>
                <c:pt idx="1">
                  <c:v>2379</c:v>
                </c:pt>
                <c:pt idx="2">
                  <c:v>3060</c:v>
                </c:pt>
                <c:pt idx="3">
                  <c:v>3660</c:v>
                </c:pt>
                <c:pt idx="4">
                  <c:v>4576</c:v>
                </c:pt>
                <c:pt idx="5">
                  <c:v>6137</c:v>
                </c:pt>
                <c:pt idx="6">
                  <c:v>7762</c:v>
                </c:pt>
                <c:pt idx="7">
                  <c:v>9728</c:v>
                </c:pt>
                <c:pt idx="8">
                  <c:v>10763</c:v>
                </c:pt>
                <c:pt idx="9">
                  <c:v>12907</c:v>
                </c:pt>
                <c:pt idx="10">
                  <c:v>14137</c:v>
                </c:pt>
              </c:numCache>
            </c:numRef>
          </c:val>
        </c:ser>
        <c:ser>
          <c:idx val="1"/>
          <c:order val="1"/>
          <c:tx>
            <c:strRef>
              <c:f>Лист1!$A$3</c:f>
              <c:strCache>
                <c:ptCount val="1"/>
                <c:pt idx="0">
                  <c:v>Среднегодовая стоимость минимального набора, рублей</c:v>
                </c:pt>
              </c:strCache>
            </c:strRef>
          </c:tx>
          <c:invertIfNegative val="0"/>
          <c:cat>
            <c:numRef>
              <c:f>Лист1!$B$1:$L$1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Лист1!$B$3:$L$3</c:f>
              <c:numCache>
                <c:formatCode>General</c:formatCode>
                <c:ptCount val="11"/>
                <c:pt idx="0">
                  <c:v>746</c:v>
                </c:pt>
                <c:pt idx="1">
                  <c:v>854</c:v>
                </c:pt>
                <c:pt idx="2">
                  <c:v>958</c:v>
                </c:pt>
                <c:pt idx="3">
                  <c:v>1045</c:v>
                </c:pt>
                <c:pt idx="4">
                  <c:v>1180</c:v>
                </c:pt>
                <c:pt idx="5">
                  <c:v>1275</c:v>
                </c:pt>
                <c:pt idx="6">
                  <c:v>1404</c:v>
                </c:pt>
                <c:pt idx="7">
                  <c:v>1771</c:v>
                </c:pt>
                <c:pt idx="8">
                  <c:v>1815</c:v>
                </c:pt>
                <c:pt idx="9">
                  <c:v>2062</c:v>
                </c:pt>
                <c:pt idx="10">
                  <c:v>2375</c:v>
                </c:pt>
              </c:numCache>
            </c:numRef>
          </c:val>
        </c:ser>
        <c:dLbls>
          <c:showLegendKey val="0"/>
          <c:showVal val="0"/>
          <c:showCatName val="0"/>
          <c:showSerName val="0"/>
          <c:showPercent val="0"/>
          <c:showBubbleSize val="0"/>
        </c:dLbls>
        <c:gapWidth val="150"/>
        <c:axId val="416207232"/>
        <c:axId val="416208768"/>
      </c:barChart>
      <c:catAx>
        <c:axId val="416207232"/>
        <c:scaling>
          <c:orientation val="minMax"/>
        </c:scaling>
        <c:delete val="0"/>
        <c:axPos val="b"/>
        <c:numFmt formatCode="General" sourceLinked="1"/>
        <c:majorTickMark val="out"/>
        <c:minorTickMark val="none"/>
        <c:tickLblPos val="low"/>
        <c:txPr>
          <a:bodyPr rot="0" vert="horz"/>
          <a:lstStyle/>
          <a:p>
            <a:pPr>
              <a:defRPr b="1"/>
            </a:pPr>
            <a:endParaRPr lang="ru-RU"/>
          </a:p>
        </c:txPr>
        <c:crossAx val="416208768"/>
        <c:crossesAt val="0"/>
        <c:auto val="1"/>
        <c:lblAlgn val="ctr"/>
        <c:lblOffset val="100"/>
        <c:tickLblSkip val="1"/>
        <c:tickMarkSkip val="1"/>
        <c:noMultiLvlLbl val="0"/>
      </c:catAx>
      <c:valAx>
        <c:axId val="416208768"/>
        <c:scaling>
          <c:orientation val="minMax"/>
          <c:min val="0"/>
        </c:scaling>
        <c:delete val="0"/>
        <c:axPos val="l"/>
        <c:majorGridlines/>
        <c:numFmt formatCode="General" sourceLinked="1"/>
        <c:majorTickMark val="out"/>
        <c:minorTickMark val="none"/>
        <c:tickLblPos val="nextTo"/>
        <c:txPr>
          <a:bodyPr rot="0" vert="horz"/>
          <a:lstStyle/>
          <a:p>
            <a:pPr>
              <a:defRPr/>
            </a:pPr>
            <a:endParaRPr lang="ru-RU"/>
          </a:p>
        </c:txPr>
        <c:crossAx val="416207232"/>
        <c:crosses val="autoZero"/>
        <c:crossBetween val="between"/>
        <c:majorUnit val="2000"/>
        <c:minorUnit val="1000"/>
      </c:valAx>
      <c:spPr>
        <a:gradFill>
          <a:gsLst>
            <a:gs pos="0">
              <a:srgbClr val="1F497D">
                <a:lumMod val="20000"/>
                <a:lumOff val="80000"/>
              </a:srgbClr>
            </a:gs>
            <a:gs pos="53000">
              <a:sysClr val="window" lastClr="FFFFFF"/>
            </a:gs>
            <a:gs pos="83000">
              <a:srgbClr val="D4DEFF"/>
            </a:gs>
            <a:gs pos="100000">
              <a:srgbClr val="96AB94"/>
            </a:gs>
          </a:gsLst>
          <a:lin ang="0" scaled="0"/>
        </a:gradFill>
      </c:spPr>
    </c:plotArea>
    <c:legend>
      <c:legendPos val="b"/>
      <c:overlay val="0"/>
    </c:legend>
    <c:plotVisOnly val="0"/>
    <c:dispBlanksAs val="gap"/>
    <c:showDLblsOverMax val="0"/>
  </c:chart>
  <c:spPr>
    <a:ln>
      <a:noFill/>
    </a:ln>
  </c:spPr>
  <c:txPr>
    <a:bodyPr/>
    <a:lstStyle/>
    <a:p>
      <a:pPr>
        <a:defRPr>
          <a:latin typeface="Arial" pitchFamily="34" charset="0"/>
          <a:cs typeface="Arial" pitchFamily="34" charset="0"/>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9339457567804033E-2"/>
          <c:y val="4.9504950495049507E-2"/>
          <c:w val="0.85678200641586832"/>
          <c:h val="0.74253856685993347"/>
        </c:manualLayout>
      </c:layout>
      <c:lineChart>
        <c:grouping val="standard"/>
        <c:varyColors val="0"/>
        <c:ser>
          <c:idx val="1"/>
          <c:order val="0"/>
          <c:tx>
            <c:strRef>
              <c:f>Лист1!$B$1</c:f>
              <c:strCache>
                <c:ptCount val="1"/>
                <c:pt idx="0">
                  <c:v>Индекс потребительских цен на товары и услуги </c:v>
                </c:pt>
              </c:strCache>
            </c:strRef>
          </c:tx>
          <c:spPr>
            <a:ln w="38100">
              <a:solidFill>
                <a:srgbClr val="FF0000"/>
              </a:solidFill>
              <a:prstDash val="solid"/>
            </a:ln>
          </c:spPr>
          <c:marker>
            <c:symbol val="x"/>
            <c:size val="9"/>
            <c:spPr>
              <a:solidFill>
                <a:srgbClr val="FFFFFF"/>
              </a:solidFill>
              <a:ln w="38100">
                <a:solidFill>
                  <a:srgbClr val="FF0000"/>
                </a:solidFill>
                <a:prstDash val="solid"/>
              </a:ln>
            </c:spPr>
          </c:marker>
          <c:cat>
            <c:numRef>
              <c:f>Лист1!$A$2:$A$22</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Лист1!$B$2:$B$22</c:f>
              <c:numCache>
                <c:formatCode>General</c:formatCode>
                <c:ptCount val="21"/>
                <c:pt idx="0">
                  <c:v>233.5</c:v>
                </c:pt>
                <c:pt idx="1">
                  <c:v>1238.2</c:v>
                </c:pt>
                <c:pt idx="2">
                  <c:v>932.1</c:v>
                </c:pt>
                <c:pt idx="3">
                  <c:v>382.4</c:v>
                </c:pt>
                <c:pt idx="4">
                  <c:v>291.89999999999969</c:v>
                </c:pt>
              </c:numCache>
            </c:numRef>
          </c:val>
          <c:smooth val="1"/>
        </c:ser>
        <c:ser>
          <c:idx val="0"/>
          <c:order val="1"/>
          <c:tx>
            <c:strRef>
              <c:f>Лист1!$C$1</c:f>
              <c:strCache>
                <c:ptCount val="1"/>
                <c:pt idx="0">
                  <c:v>Темпы роста среднедушевого денежного дохода населения</c:v>
                </c:pt>
              </c:strCache>
            </c:strRef>
          </c:tx>
          <c:spPr>
            <a:ln w="38100">
              <a:solidFill>
                <a:srgbClr val="0000FF"/>
              </a:solidFill>
              <a:prstDash val="solid"/>
            </a:ln>
          </c:spPr>
          <c:marker>
            <c:symbol val="circle"/>
            <c:size val="9"/>
            <c:spPr>
              <a:solidFill>
                <a:srgbClr val="FFFFFF"/>
              </a:solidFill>
              <a:ln w="38100">
                <a:solidFill>
                  <a:srgbClr val="0000FF"/>
                </a:solidFill>
                <a:prstDash val="solid"/>
              </a:ln>
            </c:spPr>
          </c:marker>
          <c:cat>
            <c:numRef>
              <c:f>Лист1!$A$2:$A$22</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Лист1!$C$2:$C$22</c:f>
              <c:numCache>
                <c:formatCode>General</c:formatCode>
                <c:ptCount val="21"/>
                <c:pt idx="0">
                  <c:v>216.1</c:v>
                </c:pt>
                <c:pt idx="1">
                  <c:v>724</c:v>
                </c:pt>
                <c:pt idx="2">
                  <c:v>1253.9000000000001</c:v>
                </c:pt>
                <c:pt idx="3">
                  <c:v>398.7</c:v>
                </c:pt>
                <c:pt idx="4">
                  <c:v>212.5</c:v>
                </c:pt>
              </c:numCache>
            </c:numRef>
          </c:val>
          <c:smooth val="1"/>
        </c:ser>
        <c:dLbls>
          <c:showLegendKey val="0"/>
          <c:showVal val="0"/>
          <c:showCatName val="0"/>
          <c:showSerName val="0"/>
          <c:showPercent val="0"/>
          <c:showBubbleSize val="0"/>
        </c:dLbls>
        <c:marker val="1"/>
        <c:smooth val="0"/>
        <c:axId val="412630016"/>
        <c:axId val="413213824"/>
      </c:lineChart>
      <c:lineChart>
        <c:grouping val="standard"/>
        <c:varyColors val="0"/>
        <c:ser>
          <c:idx val="2"/>
          <c:order val="2"/>
          <c:tx>
            <c:strRef>
              <c:f>Лист1!$D$1</c:f>
              <c:strCache>
                <c:ptCount val="1"/>
                <c:pt idx="0">
                  <c:v>Индекс потребительских цен на товары и услуги </c:v>
                </c:pt>
              </c:strCache>
            </c:strRef>
          </c:tx>
          <c:spPr>
            <a:ln w="38100">
              <a:solidFill>
                <a:srgbClr val="FF0000"/>
              </a:solidFill>
              <a:prstDash val="solid"/>
            </a:ln>
          </c:spPr>
          <c:marker>
            <c:symbol val="x"/>
            <c:size val="9"/>
            <c:spPr>
              <a:solidFill>
                <a:srgbClr val="FFFFFF"/>
              </a:solidFill>
              <a:ln w="38100">
                <a:solidFill>
                  <a:srgbClr val="FF0000"/>
                </a:solidFill>
                <a:prstDash val="solid"/>
              </a:ln>
            </c:spPr>
          </c:marker>
          <c:cat>
            <c:numRef>
              <c:f>Лист1!$A$2:$A$22</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Лист1!$D$2:$D$22</c:f>
              <c:numCache>
                <c:formatCode>General</c:formatCode>
                <c:ptCount val="21"/>
                <c:pt idx="5">
                  <c:v>153.69999999999999</c:v>
                </c:pt>
                <c:pt idx="6">
                  <c:v>125.9</c:v>
                </c:pt>
                <c:pt idx="7">
                  <c:v>117.7</c:v>
                </c:pt>
                <c:pt idx="8">
                  <c:v>188.9</c:v>
                </c:pt>
                <c:pt idx="9">
                  <c:v>120.1</c:v>
                </c:pt>
                <c:pt idx="10">
                  <c:v>130.6</c:v>
                </c:pt>
                <c:pt idx="11">
                  <c:v>110.7</c:v>
                </c:pt>
                <c:pt idx="12">
                  <c:v>113.7</c:v>
                </c:pt>
                <c:pt idx="13">
                  <c:v>114.8</c:v>
                </c:pt>
                <c:pt idx="14">
                  <c:v>112.6</c:v>
                </c:pt>
                <c:pt idx="15">
                  <c:v>109.7</c:v>
                </c:pt>
                <c:pt idx="16">
                  <c:v>108</c:v>
                </c:pt>
                <c:pt idx="17">
                  <c:v>116.2</c:v>
                </c:pt>
                <c:pt idx="18">
                  <c:v>110.5</c:v>
                </c:pt>
                <c:pt idx="19">
                  <c:v>107.4</c:v>
                </c:pt>
                <c:pt idx="20">
                  <c:v>109.8</c:v>
                </c:pt>
              </c:numCache>
            </c:numRef>
          </c:val>
          <c:smooth val="1"/>
        </c:ser>
        <c:ser>
          <c:idx val="3"/>
          <c:order val="3"/>
          <c:tx>
            <c:strRef>
              <c:f>Лист1!$E$1</c:f>
              <c:strCache>
                <c:ptCount val="1"/>
                <c:pt idx="0">
                  <c:v>Темпы роста среднедушевого денежного дохода населения</c:v>
                </c:pt>
              </c:strCache>
            </c:strRef>
          </c:tx>
          <c:spPr>
            <a:ln w="38100">
              <a:solidFill>
                <a:srgbClr val="0000FF"/>
              </a:solidFill>
              <a:prstDash val="solid"/>
            </a:ln>
          </c:spPr>
          <c:marker>
            <c:symbol val="circle"/>
            <c:size val="9"/>
            <c:spPr>
              <a:solidFill>
                <a:srgbClr val="FFFFFF"/>
              </a:solidFill>
              <a:ln w="38100">
                <a:solidFill>
                  <a:srgbClr val="0000FF"/>
                </a:solidFill>
                <a:prstDash val="solid"/>
              </a:ln>
            </c:spPr>
          </c:marker>
          <c:cat>
            <c:numRef>
              <c:f>Лист1!$A$2:$A$22</c:f>
              <c:numCache>
                <c:formatCode>General</c:formatCode>
                <c:ptCount val="2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numCache>
            </c:numRef>
          </c:cat>
          <c:val>
            <c:numRef>
              <c:f>Лист1!$E$2:$E$22</c:f>
              <c:numCache>
                <c:formatCode>General</c:formatCode>
                <c:ptCount val="21"/>
                <c:pt idx="5">
                  <c:v>162.69999999999999</c:v>
                </c:pt>
                <c:pt idx="6">
                  <c:v>124</c:v>
                </c:pt>
                <c:pt idx="7">
                  <c:v>106.1</c:v>
                </c:pt>
                <c:pt idx="8">
                  <c:v>147.5</c:v>
                </c:pt>
                <c:pt idx="9">
                  <c:v>128.1</c:v>
                </c:pt>
                <c:pt idx="10">
                  <c:v>134.19999999999999</c:v>
                </c:pt>
                <c:pt idx="11">
                  <c:v>138.5</c:v>
                </c:pt>
                <c:pt idx="12">
                  <c:v>128.80000000000001</c:v>
                </c:pt>
                <c:pt idx="13">
                  <c:v>119.8</c:v>
                </c:pt>
                <c:pt idx="14">
                  <c:v>125.1</c:v>
                </c:pt>
                <c:pt idx="15">
                  <c:v>134.1</c:v>
                </c:pt>
                <c:pt idx="16">
                  <c:v>128.9</c:v>
                </c:pt>
                <c:pt idx="17">
                  <c:v>125.3</c:v>
                </c:pt>
                <c:pt idx="18">
                  <c:v>110.6</c:v>
                </c:pt>
                <c:pt idx="19">
                  <c:v>119.9</c:v>
                </c:pt>
                <c:pt idx="20">
                  <c:v>109.5</c:v>
                </c:pt>
              </c:numCache>
            </c:numRef>
          </c:val>
          <c:smooth val="1"/>
        </c:ser>
        <c:dLbls>
          <c:showLegendKey val="0"/>
          <c:showVal val="0"/>
          <c:showCatName val="0"/>
          <c:showSerName val="0"/>
          <c:showPercent val="0"/>
          <c:showBubbleSize val="0"/>
        </c:dLbls>
        <c:marker val="1"/>
        <c:smooth val="0"/>
        <c:axId val="413215360"/>
        <c:axId val="480362880"/>
      </c:lineChart>
      <c:catAx>
        <c:axId val="412630016"/>
        <c:scaling>
          <c:orientation val="minMax"/>
        </c:scaling>
        <c:delete val="0"/>
        <c:axPos val="b"/>
        <c:majorGridlines>
          <c:spPr>
            <a:ln w="3177">
              <a:solidFill>
                <a:srgbClr val="000000"/>
              </a:solidFill>
              <a:prstDash val="solid"/>
            </a:ln>
          </c:spPr>
        </c:majorGridlines>
        <c:numFmt formatCode="General" sourceLinked="1"/>
        <c:majorTickMark val="out"/>
        <c:minorTickMark val="none"/>
        <c:tickLblPos val="nextTo"/>
        <c:spPr>
          <a:ln w="3177">
            <a:solidFill>
              <a:srgbClr val="000000"/>
            </a:solidFill>
            <a:prstDash val="solid"/>
          </a:ln>
        </c:spPr>
        <c:txPr>
          <a:bodyPr rot="-5400000" vert="horz"/>
          <a:lstStyle/>
          <a:p>
            <a:pPr>
              <a:defRPr b="1"/>
            </a:pPr>
            <a:endParaRPr lang="ru-RU"/>
          </a:p>
        </c:txPr>
        <c:crossAx val="413213824"/>
        <c:crosses val="autoZero"/>
        <c:auto val="0"/>
        <c:lblAlgn val="ctr"/>
        <c:lblOffset val="100"/>
        <c:tickLblSkip val="1"/>
        <c:tickMarkSkip val="1"/>
        <c:noMultiLvlLbl val="0"/>
      </c:catAx>
      <c:valAx>
        <c:axId val="413213824"/>
        <c:scaling>
          <c:orientation val="minMax"/>
          <c:min val="100"/>
        </c:scaling>
        <c:delete val="0"/>
        <c:axPos val="l"/>
        <c:majorGridlines>
          <c:spPr>
            <a:ln w="3177">
              <a:solidFill>
                <a:srgbClr val="000000"/>
              </a:solidFill>
              <a:prstDash val="solid"/>
            </a:ln>
          </c:spPr>
        </c:majorGridlines>
        <c:numFmt formatCode="0" sourceLinked="0"/>
        <c:majorTickMark val="out"/>
        <c:minorTickMark val="none"/>
        <c:tickLblPos val="nextTo"/>
        <c:spPr>
          <a:ln w="3177">
            <a:solidFill>
              <a:srgbClr val="000000"/>
            </a:solidFill>
            <a:prstDash val="solid"/>
          </a:ln>
        </c:spPr>
        <c:txPr>
          <a:bodyPr rot="0" vert="horz"/>
          <a:lstStyle/>
          <a:p>
            <a:pPr>
              <a:defRPr/>
            </a:pPr>
            <a:endParaRPr lang="ru-RU"/>
          </a:p>
        </c:txPr>
        <c:crossAx val="412630016"/>
        <c:crosses val="autoZero"/>
        <c:crossBetween val="between"/>
      </c:valAx>
      <c:catAx>
        <c:axId val="413215360"/>
        <c:scaling>
          <c:orientation val="minMax"/>
        </c:scaling>
        <c:delete val="1"/>
        <c:axPos val="b"/>
        <c:numFmt formatCode="General" sourceLinked="1"/>
        <c:majorTickMark val="out"/>
        <c:minorTickMark val="none"/>
        <c:tickLblPos val="nextTo"/>
        <c:crossAx val="480362880"/>
        <c:crosses val="autoZero"/>
        <c:auto val="0"/>
        <c:lblAlgn val="ctr"/>
        <c:lblOffset val="100"/>
        <c:noMultiLvlLbl val="0"/>
      </c:catAx>
      <c:valAx>
        <c:axId val="480362880"/>
        <c:scaling>
          <c:orientation val="minMax"/>
          <c:min val="100"/>
        </c:scaling>
        <c:delete val="0"/>
        <c:axPos val="r"/>
        <c:numFmt formatCode="General" sourceLinked="1"/>
        <c:majorTickMark val="out"/>
        <c:minorTickMark val="none"/>
        <c:tickLblPos val="nextTo"/>
        <c:spPr>
          <a:ln w="3177">
            <a:solidFill>
              <a:srgbClr val="000000"/>
            </a:solidFill>
            <a:prstDash val="solid"/>
          </a:ln>
        </c:spPr>
        <c:txPr>
          <a:bodyPr rot="0" vert="horz"/>
          <a:lstStyle/>
          <a:p>
            <a:pPr>
              <a:defRPr/>
            </a:pPr>
            <a:endParaRPr lang="ru-RU"/>
          </a:p>
        </c:txPr>
        <c:crossAx val="413215360"/>
        <c:crosses val="max"/>
        <c:crossBetween val="between"/>
      </c:valAx>
      <c:spPr>
        <a:gradFill>
          <a:gsLst>
            <a:gs pos="0">
              <a:srgbClr val="1F497D">
                <a:lumMod val="20000"/>
                <a:lumOff val="80000"/>
              </a:srgbClr>
            </a:gs>
            <a:gs pos="53000">
              <a:schemeClr val="bg1"/>
            </a:gs>
            <a:gs pos="83000">
              <a:srgbClr val="D4DEFF"/>
            </a:gs>
            <a:gs pos="100000">
              <a:srgbClr val="96AB94"/>
            </a:gs>
          </a:gsLst>
          <a:lin ang="0" scaled="0"/>
        </a:gradFill>
        <a:ln w="12706">
          <a:solidFill>
            <a:srgbClr val="808080"/>
          </a:solidFill>
          <a:prstDash val="solid"/>
        </a:ln>
      </c:spPr>
    </c:plotArea>
    <c:legend>
      <c:legendPos val="b"/>
      <c:layout>
        <c:manualLayout>
          <c:xMode val="edge"/>
          <c:yMode val="edge"/>
          <c:x val="6.925925925925927E-2"/>
          <c:y val="0.90268566711646925"/>
          <c:w val="0.87444444444444902"/>
          <c:h val="5.1431300488442147E-2"/>
        </c:manualLayout>
      </c:layout>
      <c:overlay val="0"/>
      <c:spPr>
        <a:solidFill>
          <a:srgbClr val="FFFFFF"/>
        </a:solidFill>
        <a:ln w="3177">
          <a:solidFill>
            <a:srgbClr val="000000"/>
          </a:solidFill>
          <a:prstDash val="solid"/>
        </a:ln>
      </c:spPr>
    </c:legend>
    <c:plotVisOnly val="1"/>
    <c:dispBlanksAs val="gap"/>
    <c:showDLblsOverMax val="0"/>
  </c:chart>
  <c:spPr>
    <a:noFill/>
    <a:ln>
      <a:noFill/>
    </a:ln>
  </c:spPr>
  <c:txPr>
    <a:bodyPr/>
    <a:lstStyle/>
    <a:p>
      <a:pPr>
        <a:defRPr sz="1000" b="0" i="0" u="none" strike="noStrike" baseline="0">
          <a:solidFill>
            <a:srgbClr val="000000"/>
          </a:solidFill>
          <a:latin typeface="Arial" pitchFamily="34" charset="0"/>
          <a:ea typeface="Times New Roman CYR"/>
          <a:cs typeface="Arial" pitchFamily="34" charset="0"/>
        </a:defRPr>
      </a:pPr>
      <a:endParaRPr lang="ru-RU"/>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3"/>
      <c:rotY val="20"/>
      <c:depthPercent val="100"/>
      <c:rAngAx val="1"/>
    </c:view3D>
    <c:floor>
      <c:thickness val="0"/>
      <c:spPr>
        <a:solidFill>
          <a:srgbClr val="C0C0C0"/>
        </a:solidFill>
        <a:ln w="3175">
          <a:solidFill>
            <a:srgbClr val="000000"/>
          </a:solidFill>
          <a:prstDash val="solid"/>
        </a:ln>
      </c:spPr>
    </c:floor>
    <c:sideWall>
      <c:thickness val="0"/>
      <c:spPr>
        <a:blipFill dpi="0" rotWithShape="1">
          <a:blip xmlns:r="http://schemas.openxmlformats.org/officeDocument/2006/relationships" r:embed="rId1">
            <a:alphaModFix amt="34000"/>
          </a:blip>
          <a:srcRect/>
          <a:stretch>
            <a:fillRect b="-2000"/>
          </a:stretch>
        </a:blipFill>
        <a:ln w="25400">
          <a:noFill/>
        </a:ln>
      </c:spPr>
    </c:sideWall>
    <c:backWall>
      <c:thickness val="0"/>
      <c:spPr>
        <a:blipFill dpi="0" rotWithShape="1">
          <a:blip xmlns:r="http://schemas.openxmlformats.org/officeDocument/2006/relationships" r:embed="rId2">
            <a:alphaModFix amt="39000"/>
          </a:blip>
          <a:srcRect/>
          <a:stretch>
            <a:fillRect l="1000" t="1000" r="3000"/>
          </a:stretch>
        </a:blipFill>
        <a:ln w="25400">
          <a:noFill/>
        </a:ln>
      </c:spPr>
    </c:backWall>
    <c:plotArea>
      <c:layout>
        <c:manualLayout>
          <c:layoutTarget val="inner"/>
          <c:xMode val="edge"/>
          <c:yMode val="edge"/>
          <c:x val="4.4943820224719107E-2"/>
          <c:y val="1.1869436201780601E-2"/>
          <c:w val="0.95505617977528057"/>
          <c:h val="0.74205031260445908"/>
        </c:manualLayout>
      </c:layout>
      <c:bar3DChart>
        <c:barDir val="col"/>
        <c:grouping val="clustered"/>
        <c:varyColors val="0"/>
        <c:ser>
          <c:idx val="0"/>
          <c:order val="0"/>
          <c:tx>
            <c:strRef>
              <c:f>Sheet1!$A$2</c:f>
              <c:strCache>
                <c:ptCount val="1"/>
                <c:pt idx="0">
                  <c:v>Индекс цен производителей на реализованную сельскохозяйственную продукцию</c:v>
                </c:pt>
              </c:strCache>
            </c:strRef>
          </c:tx>
          <c:spPr>
            <a:solidFill>
              <a:srgbClr val="99CC00"/>
            </a:solidFill>
            <a:ln w="12710">
              <a:solidFill>
                <a:srgbClr val="000000"/>
              </a:solidFill>
              <a:prstDash val="solid"/>
            </a:ln>
            <a:scene3d>
              <a:camera prst="orthographicFront"/>
              <a:lightRig rig="threePt" dir="t"/>
            </a:scene3d>
            <a:sp3d>
              <a:bevelT w="146050" h="101600"/>
              <a:bevelB/>
              <a:contourClr>
                <a:srgbClr val="000000"/>
              </a:contourClr>
            </a:sp3d>
          </c:spPr>
          <c:invertIfNegative val="0"/>
          <c:dLbls>
            <c:dLbl>
              <c:idx val="2"/>
              <c:layout>
                <c:manualLayout>
                  <c:x val="0"/>
                  <c:y val="-1.4532243415077219E-2"/>
                </c:manualLayout>
              </c:layout>
              <c:showLegendKey val="0"/>
              <c:showVal val="1"/>
              <c:showCatName val="0"/>
              <c:showSerName val="0"/>
              <c:showPercent val="0"/>
              <c:showBubbleSize val="0"/>
            </c:dLbl>
            <c:dLbl>
              <c:idx val="6"/>
              <c:layout>
                <c:manualLayout>
                  <c:x val="0"/>
                  <c:y val="-1.4532243415077199E-2"/>
                </c:manualLayout>
              </c:layout>
              <c:showLegendKey val="0"/>
              <c:showVal val="1"/>
              <c:showCatName val="0"/>
              <c:showSerName val="0"/>
              <c:showPercent val="0"/>
              <c:showBubbleSize val="0"/>
            </c:dLbl>
            <c:spPr>
              <a:solidFill>
                <a:schemeClr val="bg1"/>
              </a:solidFill>
            </c:spPr>
            <c:txPr>
              <a:bodyPr/>
              <a:lstStyle/>
              <a:p>
                <a:pPr>
                  <a:defRPr sz="1000" b="0"/>
                </a:pPr>
                <a:endParaRPr lang="ru-RU"/>
              </a:p>
            </c:txPr>
            <c:showLegendKey val="0"/>
            <c:showVal val="1"/>
            <c:showCatName val="0"/>
            <c:showSerName val="0"/>
            <c:showPercent val="0"/>
            <c:showBubbleSize val="0"/>
            <c:showLeaderLines val="0"/>
          </c:dLbls>
          <c:cat>
            <c:numRef>
              <c:f>Sheet1!$B$1:$L$1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Sheet1!$B$2:$L$2</c:f>
              <c:numCache>
                <c:formatCode>General</c:formatCode>
                <c:ptCount val="11"/>
                <c:pt idx="0">
                  <c:v>132.1</c:v>
                </c:pt>
                <c:pt idx="1">
                  <c:v>106.1</c:v>
                </c:pt>
                <c:pt idx="2">
                  <c:v>104.7</c:v>
                </c:pt>
                <c:pt idx="3">
                  <c:v>134.69999999999999</c:v>
                </c:pt>
                <c:pt idx="4">
                  <c:v>113.2</c:v>
                </c:pt>
                <c:pt idx="5">
                  <c:v>106.1</c:v>
                </c:pt>
                <c:pt idx="6">
                  <c:v>117.8</c:v>
                </c:pt>
                <c:pt idx="7">
                  <c:v>131.6</c:v>
                </c:pt>
                <c:pt idx="8">
                  <c:v>96.1</c:v>
                </c:pt>
                <c:pt idx="9">
                  <c:v>101.9</c:v>
                </c:pt>
                <c:pt idx="10">
                  <c:v>123.2</c:v>
                </c:pt>
              </c:numCache>
            </c:numRef>
          </c:val>
        </c:ser>
        <c:ser>
          <c:idx val="1"/>
          <c:order val="1"/>
          <c:tx>
            <c:strRef>
              <c:f>Sheet1!$A$3</c:f>
              <c:strCache>
                <c:ptCount val="1"/>
                <c:pt idx="0">
                  <c:v>Индекс цен на промышленную продукцию и услуги, приобретенные сельскохозяйственными организациями</c:v>
                </c:pt>
              </c:strCache>
            </c:strRef>
          </c:tx>
          <c:spPr>
            <a:solidFill>
              <a:srgbClr val="FFC000"/>
            </a:solidFill>
            <a:ln w="12710">
              <a:solidFill>
                <a:srgbClr val="000000"/>
              </a:solidFill>
              <a:prstDash val="solid"/>
            </a:ln>
            <a:scene3d>
              <a:camera prst="orthographicFront"/>
              <a:lightRig rig="threePt" dir="t"/>
            </a:scene3d>
            <a:sp3d>
              <a:bevelT w="146050" h="101600"/>
              <a:bevelB w="165100" prst="coolSlant"/>
              <a:contourClr>
                <a:srgbClr val="000000"/>
              </a:contourClr>
            </a:sp3d>
          </c:spPr>
          <c:invertIfNegative val="0"/>
          <c:dLbls>
            <c:dLbl>
              <c:idx val="3"/>
              <c:layout>
                <c:manualLayout>
                  <c:x val="2.4051108605787352E-2"/>
                  <c:y val="2.7835768963117933E-3"/>
                </c:manualLayout>
              </c:layout>
              <c:showLegendKey val="0"/>
              <c:showVal val="1"/>
              <c:showCatName val="0"/>
              <c:showSerName val="0"/>
              <c:showPercent val="0"/>
              <c:showBubbleSize val="0"/>
            </c:dLbl>
            <c:numFmt formatCode="#,##0.0" sourceLinked="0"/>
            <c:spPr>
              <a:solidFill>
                <a:schemeClr val="bg1"/>
              </a:solidFill>
            </c:spPr>
            <c:txPr>
              <a:bodyPr/>
              <a:lstStyle/>
              <a:p>
                <a:pPr>
                  <a:defRPr sz="1000" b="0"/>
                </a:pPr>
                <a:endParaRPr lang="ru-RU"/>
              </a:p>
            </c:txPr>
            <c:showLegendKey val="0"/>
            <c:showVal val="1"/>
            <c:showCatName val="0"/>
            <c:showSerName val="0"/>
            <c:showPercent val="0"/>
            <c:showBubbleSize val="0"/>
            <c:showLeaderLines val="0"/>
          </c:dLbls>
          <c:cat>
            <c:numRef>
              <c:f>Sheet1!$B$1:$L$1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Sheet1!$B$3:$L$3</c:f>
              <c:numCache>
                <c:formatCode>General</c:formatCode>
                <c:ptCount val="11"/>
                <c:pt idx="0">
                  <c:v>127.6</c:v>
                </c:pt>
                <c:pt idx="1">
                  <c:v>115.7</c:v>
                </c:pt>
                <c:pt idx="2">
                  <c:v>126.2</c:v>
                </c:pt>
                <c:pt idx="3">
                  <c:v>136.1</c:v>
                </c:pt>
                <c:pt idx="4">
                  <c:v>122.8</c:v>
                </c:pt>
                <c:pt idx="5">
                  <c:v>111.6</c:v>
                </c:pt>
                <c:pt idx="6">
                  <c:v>113.4</c:v>
                </c:pt>
                <c:pt idx="7">
                  <c:v>119.9</c:v>
                </c:pt>
                <c:pt idx="8">
                  <c:v>101.5</c:v>
                </c:pt>
                <c:pt idx="9">
                  <c:v>110.2</c:v>
                </c:pt>
                <c:pt idx="10">
                  <c:v>118</c:v>
                </c:pt>
              </c:numCache>
            </c:numRef>
          </c:val>
        </c:ser>
        <c:dLbls>
          <c:showLegendKey val="0"/>
          <c:showVal val="1"/>
          <c:showCatName val="0"/>
          <c:showSerName val="0"/>
          <c:showPercent val="0"/>
          <c:showBubbleSize val="0"/>
        </c:dLbls>
        <c:gapWidth val="154"/>
        <c:gapDepth val="76"/>
        <c:shape val="box"/>
        <c:axId val="413047808"/>
        <c:axId val="413061888"/>
        <c:axId val="0"/>
      </c:bar3DChart>
      <c:catAx>
        <c:axId val="413047808"/>
        <c:scaling>
          <c:orientation val="minMax"/>
        </c:scaling>
        <c:delete val="0"/>
        <c:axPos val="b"/>
        <c:numFmt formatCode="General" sourceLinked="1"/>
        <c:majorTickMark val="out"/>
        <c:minorTickMark val="none"/>
        <c:tickLblPos val="low"/>
        <c:spPr>
          <a:ln w="3177">
            <a:solidFill>
              <a:srgbClr val="000000"/>
            </a:solidFill>
            <a:prstDash val="solid"/>
          </a:ln>
        </c:spPr>
        <c:txPr>
          <a:bodyPr rot="0" vert="horz"/>
          <a:lstStyle/>
          <a:p>
            <a:pPr>
              <a:defRPr sz="1000" b="1" i="0" u="none" strike="noStrike" baseline="0">
                <a:solidFill>
                  <a:srgbClr val="000000"/>
                </a:solidFill>
                <a:latin typeface="Arial Cyr"/>
                <a:ea typeface="Arial Cyr"/>
                <a:cs typeface="Arial Cyr"/>
              </a:defRPr>
            </a:pPr>
            <a:endParaRPr lang="ru-RU"/>
          </a:p>
        </c:txPr>
        <c:crossAx val="413061888"/>
        <c:crossesAt val="40"/>
        <c:auto val="1"/>
        <c:lblAlgn val="ctr"/>
        <c:lblOffset val="100"/>
        <c:tickLblSkip val="1"/>
        <c:tickMarkSkip val="1"/>
        <c:noMultiLvlLbl val="0"/>
      </c:catAx>
      <c:valAx>
        <c:axId val="413061888"/>
        <c:scaling>
          <c:orientation val="minMax"/>
          <c:min val="40"/>
        </c:scaling>
        <c:delete val="0"/>
        <c:axPos val="l"/>
        <c:numFmt formatCode="0" sourceLinked="0"/>
        <c:majorTickMark val="out"/>
        <c:minorTickMark val="none"/>
        <c:tickLblPos val="nextTo"/>
        <c:spPr>
          <a:ln w="3177">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413047808"/>
        <c:crosses val="autoZero"/>
        <c:crossBetween val="between"/>
        <c:majorUnit val="20"/>
        <c:minorUnit val="5"/>
      </c:valAx>
      <c:spPr>
        <a:noFill/>
        <a:ln w="25420">
          <a:noFill/>
        </a:ln>
      </c:spPr>
    </c:plotArea>
    <c:legend>
      <c:legendPos val="b"/>
      <c:layout>
        <c:manualLayout>
          <c:xMode val="edge"/>
          <c:yMode val="edge"/>
          <c:x val="2.9660390534610472E-2"/>
          <c:y val="0.83574288078290837"/>
          <c:w val="0.93121985146178565"/>
          <c:h val="0.12446424363969191"/>
        </c:manualLayout>
      </c:layout>
      <c:overlay val="0"/>
      <c:spPr>
        <a:noFill/>
        <a:ln>
          <a:solidFill>
            <a:srgbClr val="000000"/>
          </a:solidFill>
        </a:ln>
      </c:spPr>
      <c:txPr>
        <a:bodyPr/>
        <a:lstStyle/>
        <a:p>
          <a:pPr>
            <a:defRPr sz="1000" b="0" i="0" u="none" strike="noStrike" baseline="0">
              <a:solidFill>
                <a:srgbClr val="000000"/>
              </a:solidFill>
              <a:latin typeface="Arial"/>
              <a:ea typeface="Arial"/>
              <a:cs typeface="Arial"/>
            </a:defRPr>
          </a:pPr>
          <a:endParaRPr lang="ru-RU"/>
        </a:p>
      </c:txPr>
    </c:legend>
    <c:plotVisOnly val="1"/>
    <c:dispBlanksAs val="gap"/>
    <c:showDLblsOverMax val="0"/>
  </c:chart>
  <c:spPr>
    <a:noFill/>
    <a:ln>
      <a:noFill/>
    </a:ln>
  </c:spPr>
  <c:txPr>
    <a:bodyPr/>
    <a:lstStyle/>
    <a:p>
      <a:pPr>
        <a:defRPr sz="1476" b="1" i="0" u="none" strike="noStrike" baseline="0">
          <a:solidFill>
            <a:srgbClr val="000000"/>
          </a:solidFill>
          <a:latin typeface="Arial Cyr"/>
          <a:ea typeface="Arial Cyr"/>
          <a:cs typeface="Arial Cy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845220989712104E-2"/>
          <c:y val="7.8730344568553323E-2"/>
          <c:w val="0.902527075812257"/>
          <c:h val="0.75009417014025992"/>
        </c:manualLayout>
      </c:layout>
      <c:areaChart>
        <c:grouping val="standard"/>
        <c:varyColors val="0"/>
        <c:ser>
          <c:idx val="0"/>
          <c:order val="0"/>
          <c:tx>
            <c:strRef>
              <c:f>Sheet1!$A$2</c:f>
              <c:strCache>
                <c:ptCount val="1"/>
                <c:pt idx="0">
                  <c:v>Индексы производства</c:v>
                </c:pt>
              </c:strCache>
            </c:strRef>
          </c:tx>
          <c:spPr>
            <a:ln w="25400">
              <a:noFill/>
            </a:ln>
          </c:spPr>
          <c:dLbls>
            <c:dLbl>
              <c:idx val="0"/>
              <c:layout>
                <c:manualLayout>
                  <c:x val="2.3887119949422452E-2"/>
                  <c:y val="-0.38384084133876162"/>
                </c:manualLayout>
              </c:layout>
              <c:numFmt formatCode="#,##0.0" sourceLinked="0"/>
              <c:spPr>
                <a:solidFill>
                  <a:srgbClr val="4F81BD">
                    <a:lumMod val="20000"/>
                    <a:lumOff val="80000"/>
                    <a:alpha val="56000"/>
                  </a:srgbClr>
                </a:solidFill>
                <a:ln>
                  <a:solidFill>
                    <a:schemeClr val="accent1">
                      <a:lumMod val="40000"/>
                      <a:lumOff val="60000"/>
                    </a:schemeClr>
                  </a:solidFill>
                </a:ln>
                <a:effectLst>
                  <a:outerShdw blurRad="50800" dist="50800" dir="5400000" algn="ctr" rotWithShape="0">
                    <a:schemeClr val="accent1"/>
                  </a:outerShdw>
                </a:effectLst>
              </c:spPr>
              <c:txPr>
                <a:bodyPr anchor="t" anchorCtr="0"/>
                <a:lstStyle/>
                <a:p>
                  <a:pPr>
                    <a:defRPr b="1" i="0" baseline="0"/>
                  </a:pPr>
                  <a:endParaRPr lang="ru-RU"/>
                </a:p>
              </c:txPr>
              <c:showLegendKey val="0"/>
              <c:showVal val="1"/>
              <c:showCatName val="0"/>
              <c:showSerName val="0"/>
              <c:showPercent val="0"/>
              <c:showBubbleSize val="0"/>
            </c:dLbl>
            <c:dLbl>
              <c:idx val="1"/>
              <c:layout>
                <c:manualLayout>
                  <c:x val="-1.1494913500775921E-7"/>
                  <c:y val="-0.31059151555346531"/>
                </c:manualLayout>
              </c:layout>
              <c:showLegendKey val="0"/>
              <c:showVal val="1"/>
              <c:showCatName val="0"/>
              <c:showSerName val="0"/>
              <c:showPercent val="0"/>
              <c:showBubbleSize val="0"/>
            </c:dLbl>
            <c:dLbl>
              <c:idx val="2"/>
              <c:layout>
                <c:manualLayout>
                  <c:x val="0"/>
                  <c:y val="-0.35796825353856981"/>
                </c:manualLayout>
              </c:layout>
              <c:showLegendKey val="0"/>
              <c:showVal val="1"/>
              <c:showCatName val="0"/>
              <c:showSerName val="0"/>
              <c:showPercent val="0"/>
              <c:showBubbleSize val="0"/>
            </c:dLbl>
            <c:dLbl>
              <c:idx val="3"/>
              <c:layout>
                <c:manualLayout>
                  <c:x val="-6.551066153227314E-3"/>
                  <c:y val="-0.34925032737904504"/>
                </c:manualLayout>
              </c:layout>
              <c:showLegendKey val="0"/>
              <c:showVal val="1"/>
              <c:showCatName val="0"/>
              <c:showSerName val="0"/>
              <c:showPercent val="0"/>
              <c:showBubbleSize val="0"/>
            </c:dLbl>
            <c:dLbl>
              <c:idx val="4"/>
              <c:layout>
                <c:manualLayout>
                  <c:x val="-1.4598540145985463E-3"/>
                  <c:y val="-0.3018911849598615"/>
                </c:manualLayout>
              </c:layout>
              <c:showLegendKey val="0"/>
              <c:showVal val="1"/>
              <c:showCatName val="0"/>
              <c:showSerName val="0"/>
              <c:showPercent val="0"/>
              <c:showBubbleSize val="0"/>
            </c:dLbl>
            <c:dLbl>
              <c:idx val="5"/>
              <c:layout>
                <c:manualLayout>
                  <c:x val="-9.4343353066268267E-3"/>
                  <c:y val="-0.31909829492198732"/>
                </c:manualLayout>
              </c:layout>
              <c:showLegendKey val="0"/>
              <c:showVal val="1"/>
              <c:showCatName val="0"/>
              <c:showSerName val="0"/>
              <c:showPercent val="0"/>
              <c:showBubbleSize val="0"/>
            </c:dLbl>
            <c:dLbl>
              <c:idx val="6"/>
              <c:layout>
                <c:manualLayout>
                  <c:x val="-1.4598540145985463E-3"/>
                  <c:y val="-0.28892832852275635"/>
                </c:manualLayout>
              </c:layout>
              <c:showLegendKey val="0"/>
              <c:showVal val="1"/>
              <c:showCatName val="0"/>
              <c:showSerName val="0"/>
              <c:showPercent val="0"/>
              <c:showBubbleSize val="0"/>
            </c:dLbl>
            <c:dLbl>
              <c:idx val="7"/>
              <c:layout>
                <c:manualLayout>
                  <c:x val="-2.1715041094315002E-3"/>
                  <c:y val="-9.0526818011095134E-2"/>
                </c:manualLayout>
              </c:layout>
              <c:showLegendKey val="0"/>
              <c:showVal val="1"/>
              <c:showCatName val="0"/>
              <c:showSerName val="0"/>
              <c:showPercent val="0"/>
              <c:showBubbleSize val="0"/>
            </c:dLbl>
            <c:dLbl>
              <c:idx val="8"/>
              <c:layout>
                <c:manualLayout>
                  <c:x val="-6.5146272774297374E-3"/>
                  <c:y val="-0.21138196251467706"/>
                </c:manualLayout>
              </c:layout>
              <c:showLegendKey val="0"/>
              <c:showVal val="1"/>
              <c:showCatName val="0"/>
              <c:showSerName val="0"/>
              <c:showPercent val="0"/>
              <c:showBubbleSize val="0"/>
            </c:dLbl>
            <c:dLbl>
              <c:idx val="9"/>
              <c:layout>
                <c:manualLayout>
                  <c:x val="-8.6862463359965048E-3"/>
                  <c:y val="-0.40967789963083645"/>
                </c:manualLayout>
              </c:layout>
              <c:showLegendKey val="0"/>
              <c:showVal val="1"/>
              <c:showCatName val="0"/>
              <c:showSerName val="0"/>
              <c:showPercent val="0"/>
              <c:showBubbleSize val="0"/>
            </c:dLbl>
            <c:numFmt formatCode="#,##0.0" sourceLinked="0"/>
            <c:spPr>
              <a:solidFill>
                <a:srgbClr val="4F81BD">
                  <a:lumMod val="20000"/>
                  <a:lumOff val="80000"/>
                  <a:alpha val="56000"/>
                </a:srgbClr>
              </a:solidFill>
              <a:ln>
                <a:solidFill>
                  <a:schemeClr val="accent1">
                    <a:lumMod val="40000"/>
                    <a:lumOff val="60000"/>
                  </a:schemeClr>
                </a:solidFill>
              </a:ln>
              <a:effectLst>
                <a:outerShdw blurRad="50800" dist="50800" dir="5400000" algn="ctr" rotWithShape="0">
                  <a:schemeClr val="accent1"/>
                </a:outerShdw>
              </a:effectLst>
            </c:spPr>
            <c:txPr>
              <a:bodyPr/>
              <a:lstStyle/>
              <a:p>
                <a:pPr>
                  <a:defRPr b="1" i="0" baseline="0"/>
                </a:pPr>
                <a:endParaRPr lang="ru-RU"/>
              </a:p>
            </c:txPr>
            <c:showLegendKey val="0"/>
            <c:showVal val="1"/>
            <c:showCatName val="0"/>
            <c:showSerName val="0"/>
            <c:showPercent val="0"/>
            <c:showBubbleSize val="0"/>
            <c:showLeaderLines val="0"/>
          </c:dLbls>
          <c:cat>
            <c:numRef>
              <c:f>Sheet1!$B$1:$K$1</c:f>
              <c:numCache>
                <c:formatCode>General</c:formatCode>
                <c:ptCount val="10"/>
                <c:pt idx="0">
                  <c:v>1955</c:v>
                </c:pt>
                <c:pt idx="1">
                  <c:v>1965</c:v>
                </c:pt>
                <c:pt idx="2">
                  <c:v>1970</c:v>
                </c:pt>
                <c:pt idx="3">
                  <c:v>1975</c:v>
                </c:pt>
                <c:pt idx="4">
                  <c:v>1980</c:v>
                </c:pt>
                <c:pt idx="5">
                  <c:v>1985</c:v>
                </c:pt>
                <c:pt idx="6">
                  <c:v>1990</c:v>
                </c:pt>
                <c:pt idx="7">
                  <c:v>1995</c:v>
                </c:pt>
                <c:pt idx="8">
                  <c:v>2000</c:v>
                </c:pt>
                <c:pt idx="9">
                  <c:v>2011</c:v>
                </c:pt>
              </c:numCache>
            </c:numRef>
          </c:cat>
          <c:val>
            <c:numRef>
              <c:f>Sheet1!$B$2:$K$2</c:f>
              <c:numCache>
                <c:formatCode>General</c:formatCode>
                <c:ptCount val="10"/>
                <c:pt idx="0">
                  <c:v>113.1</c:v>
                </c:pt>
                <c:pt idx="1">
                  <c:v>105.2</c:v>
                </c:pt>
                <c:pt idx="2">
                  <c:v>109.6</c:v>
                </c:pt>
                <c:pt idx="3">
                  <c:v>106.9</c:v>
                </c:pt>
                <c:pt idx="4">
                  <c:v>103.6</c:v>
                </c:pt>
                <c:pt idx="5">
                  <c:v>104.5</c:v>
                </c:pt>
                <c:pt idx="6">
                  <c:v>102.6</c:v>
                </c:pt>
                <c:pt idx="7">
                  <c:v>80.7</c:v>
                </c:pt>
                <c:pt idx="8">
                  <c:v>97.4</c:v>
                </c:pt>
                <c:pt idx="9">
                  <c:v>109.6</c:v>
                </c:pt>
              </c:numCache>
            </c:numRef>
          </c:val>
        </c:ser>
        <c:dLbls>
          <c:showLegendKey val="0"/>
          <c:showVal val="0"/>
          <c:showCatName val="0"/>
          <c:showSerName val="0"/>
          <c:showPercent val="0"/>
          <c:showBubbleSize val="0"/>
        </c:dLbls>
        <c:axId val="480223616"/>
        <c:axId val="480225152"/>
      </c:areaChart>
      <c:catAx>
        <c:axId val="48022361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480225152"/>
        <c:crosses val="autoZero"/>
        <c:auto val="1"/>
        <c:lblAlgn val="ctr"/>
        <c:lblOffset val="100"/>
        <c:tickLblSkip val="1"/>
        <c:tickMarkSkip val="1"/>
        <c:noMultiLvlLbl val="0"/>
      </c:catAx>
      <c:valAx>
        <c:axId val="480225152"/>
        <c:scaling>
          <c:orientation val="minMax"/>
          <c:min val="80"/>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480223616"/>
        <c:crosses val="autoZero"/>
        <c:crossBetween val="midCat"/>
      </c:valAx>
      <c:spPr>
        <a:gradFill flip="none" rotWithShape="1">
          <a:gsLst>
            <a:gs pos="0">
              <a:srgbClr val="1F497D">
                <a:lumMod val="20000"/>
                <a:lumOff val="80000"/>
                <a:alpha val="50000"/>
              </a:srgbClr>
            </a:gs>
            <a:gs pos="39999">
              <a:srgbClr val="85C2FF"/>
            </a:gs>
            <a:gs pos="70000">
              <a:srgbClr val="C4D6EB"/>
            </a:gs>
            <a:gs pos="100000">
              <a:srgbClr val="FFEBFA"/>
            </a:gs>
          </a:gsLst>
          <a:lin ang="5400000" scaled="0"/>
          <a:tileRect r="-100000" b="-100000"/>
        </a:gradFill>
        <a:ln w="25402">
          <a:noFill/>
          <a:prstDash val="solid"/>
        </a:ln>
      </c:spPr>
    </c:plotArea>
    <c:plotVisOnly val="1"/>
    <c:dispBlanksAs val="zero"/>
    <c:showDLblsOverMax val="0"/>
  </c:chart>
  <c:spPr>
    <a:noFill/>
    <a:ln w="25402">
      <a:noFill/>
      <a:prstDash val="solid"/>
    </a:ln>
  </c:spPr>
  <c:txPr>
    <a:bodyPr/>
    <a:lstStyle/>
    <a:p>
      <a:pPr>
        <a:defRPr sz="11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592468002158228E-2"/>
          <c:y val="5.289181006615333E-2"/>
          <c:w val="0.89939018525049852"/>
          <c:h val="0.72826192607631679"/>
        </c:manualLayout>
      </c:layout>
      <c:areaChart>
        <c:grouping val="standard"/>
        <c:varyColors val="0"/>
        <c:ser>
          <c:idx val="1"/>
          <c:order val="1"/>
          <c:tx>
            <c:strRef>
              <c:f>Sheet1!$C$1</c:f>
              <c:strCache>
                <c:ptCount val="1"/>
                <c:pt idx="0">
                  <c:v>Индексы цен на первичном рынке жилья</c:v>
                </c:pt>
              </c:strCache>
            </c:strRef>
          </c:tx>
          <c:spPr>
            <a:blipFill dpi="0" rotWithShape="1">
              <a:blip xmlns:r="http://schemas.openxmlformats.org/officeDocument/2006/relationships" r:embed="rId1">
                <a:alphaModFix amt="50000"/>
              </a:blip>
              <a:srcRect/>
              <a:stretch>
                <a:fillRect/>
              </a:stretch>
            </a:blipFill>
            <a:ln w="38100">
              <a:solidFill>
                <a:schemeClr val="tx2">
                  <a:lumMod val="60000"/>
                  <a:lumOff val="40000"/>
                </a:schemeClr>
              </a:solidFill>
              <a:prstDash val="solid"/>
            </a:ln>
          </c:spPr>
          <c:dLbls>
            <c:dLbl>
              <c:idx val="0"/>
              <c:layout>
                <c:manualLayout>
                  <c:x val="0"/>
                  <c:y val="-0.200336693697583"/>
                </c:manualLayout>
              </c:layout>
              <c:showLegendKey val="0"/>
              <c:showVal val="1"/>
              <c:showCatName val="0"/>
              <c:showSerName val="0"/>
              <c:showPercent val="0"/>
              <c:showBubbleSize val="0"/>
            </c:dLbl>
            <c:dLbl>
              <c:idx val="1"/>
              <c:layout>
                <c:manualLayout>
                  <c:x val="-7.8307859642718913E-3"/>
                  <c:y val="-0.25042086712198164"/>
                </c:manualLayout>
              </c:layout>
              <c:showLegendKey val="0"/>
              <c:showVal val="1"/>
              <c:showCatName val="0"/>
              <c:showSerName val="0"/>
              <c:showPercent val="0"/>
              <c:showBubbleSize val="0"/>
            </c:dLbl>
            <c:dLbl>
              <c:idx val="2"/>
              <c:layout>
                <c:manualLayout>
                  <c:x val="-1.5661571928543884E-3"/>
                  <c:y val="-0.31523567978884687"/>
                </c:manualLayout>
              </c:layout>
              <c:showLegendKey val="0"/>
              <c:showVal val="1"/>
              <c:showCatName val="0"/>
              <c:showSerName val="0"/>
              <c:showPercent val="0"/>
              <c:showBubbleSize val="0"/>
            </c:dLbl>
            <c:dLbl>
              <c:idx val="3"/>
              <c:layout>
                <c:manualLayout>
                  <c:x val="-1.5661571928543884E-3"/>
                  <c:y val="-0.20917530922163535"/>
                </c:manualLayout>
              </c:layout>
              <c:showLegendKey val="0"/>
              <c:showVal val="1"/>
              <c:showCatName val="0"/>
              <c:showSerName val="0"/>
              <c:showPercent val="0"/>
              <c:showBubbleSize val="0"/>
            </c:dLbl>
            <c:dLbl>
              <c:idx val="4"/>
              <c:layout>
                <c:manualLayout>
                  <c:x val="0"/>
                  <c:y val="-0.12373736963674244"/>
                </c:manualLayout>
              </c:layout>
              <c:showLegendKey val="0"/>
              <c:showVal val="1"/>
              <c:showCatName val="0"/>
              <c:showSerName val="0"/>
              <c:showPercent val="0"/>
              <c:showBubbleSize val="0"/>
            </c:dLbl>
            <c:dLbl>
              <c:idx val="5"/>
              <c:layout>
                <c:manualLayout>
                  <c:x val="-3.1323143857088192E-3"/>
                  <c:y val="-0.21212120509155838"/>
                </c:manualLayout>
              </c:layout>
              <c:showLegendKey val="0"/>
              <c:showVal val="1"/>
              <c:showCatName val="0"/>
              <c:showSerName val="0"/>
              <c:showPercent val="0"/>
              <c:showBubbleSize val="0"/>
            </c:dLbl>
            <c:dLbl>
              <c:idx val="6"/>
              <c:layout>
                <c:manualLayout>
                  <c:x val="-9.3969431571263758E-3"/>
                  <c:y val="-0.24747473927348493"/>
                </c:manualLayout>
              </c:layout>
              <c:showLegendKey val="0"/>
              <c:showVal val="1"/>
              <c:showCatName val="0"/>
              <c:showSerName val="0"/>
              <c:showPercent val="0"/>
              <c:showBubbleSize val="0"/>
            </c:dLbl>
            <c:dLbl>
              <c:idx val="7"/>
              <c:layout>
                <c:manualLayout>
                  <c:x val="-1.5661571928543884E-3"/>
                  <c:y val="-0.37710436460721763"/>
                </c:manualLayout>
              </c:layout>
              <c:showLegendKey val="0"/>
              <c:showVal val="1"/>
              <c:showCatName val="0"/>
              <c:showSerName val="0"/>
              <c:showPercent val="0"/>
              <c:showBubbleSize val="0"/>
            </c:dLbl>
            <c:dLbl>
              <c:idx val="8"/>
              <c:layout>
                <c:manualLayout>
                  <c:x val="-3.1323143857087542E-3"/>
                  <c:y val="-0.17676767090963205"/>
                </c:manualLayout>
              </c:layout>
              <c:showLegendKey val="0"/>
              <c:showVal val="1"/>
              <c:showCatName val="0"/>
              <c:showSerName val="0"/>
              <c:showPercent val="0"/>
              <c:showBubbleSize val="0"/>
            </c:dLbl>
            <c:dLbl>
              <c:idx val="9"/>
              <c:layout>
                <c:manualLayout>
                  <c:x val="0"/>
                  <c:y val="-8.5437707606322133E-2"/>
                </c:manualLayout>
              </c:layout>
              <c:showLegendKey val="0"/>
              <c:showVal val="1"/>
              <c:showCatName val="0"/>
              <c:showSerName val="0"/>
              <c:showPercent val="0"/>
              <c:showBubbleSize val="0"/>
            </c:dLbl>
            <c:dLbl>
              <c:idx val="10"/>
              <c:layout>
                <c:manualLayout>
                  <c:x val="1.1485020071667268E-16"/>
                  <c:y val="-0.10606060254578001"/>
                </c:manualLayout>
              </c:layout>
              <c:showLegendKey val="0"/>
              <c:showVal val="1"/>
              <c:showCatName val="0"/>
              <c:showSerName val="0"/>
              <c:showPercent val="0"/>
              <c:showBubbleSize val="0"/>
            </c:dLbl>
            <c:dLbl>
              <c:idx val="11"/>
              <c:layout>
                <c:manualLayout>
                  <c:x val="-1.5661571928543884E-3"/>
                  <c:y val="-7.6599324060840551E-2"/>
                </c:manualLayout>
              </c:layout>
              <c:showLegendKey val="0"/>
              <c:showVal val="1"/>
              <c:showCatName val="0"/>
              <c:showSerName val="0"/>
              <c:showPercent val="0"/>
              <c:showBubbleSize val="0"/>
            </c:dLbl>
            <c:spPr>
              <a:solidFill>
                <a:srgbClr val="1F497D">
                  <a:lumMod val="40000"/>
                  <a:lumOff val="60000"/>
                  <a:alpha val="50000"/>
                </a:srgbClr>
              </a:solidFill>
            </c:spPr>
            <c:txPr>
              <a:bodyPr/>
              <a:lstStyle/>
              <a:p>
                <a:pPr>
                  <a:defRPr sz="1000"/>
                </a:pPr>
                <a:endParaRPr lang="ru-RU"/>
              </a:p>
            </c:txPr>
            <c:showLegendKey val="0"/>
            <c:showVal val="1"/>
            <c:showCatName val="0"/>
            <c:showSerName val="0"/>
            <c:showPercent val="0"/>
            <c:showBubbleSize val="0"/>
            <c:showLeaderLines val="0"/>
          </c:dLbls>
          <c:cat>
            <c:numRef>
              <c:f>Sheet1!$A$2:$A$13</c:f>
              <c:numCache>
                <c:formatCode>General</c:formatCode>
                <c:ptCount val="12"/>
                <c:pt idx="0">
                  <c:v>2000</c:v>
                </c:pt>
                <c:pt idx="1">
                  <c:v>2001</c:v>
                </c:pt>
                <c:pt idx="2">
                  <c:v>2002</c:v>
                </c:pt>
                <c:pt idx="3">
                  <c:v>2003</c:v>
                </c:pt>
                <c:pt idx="4">
                  <c:v>2004</c:v>
                </c:pt>
                <c:pt idx="5">
                  <c:v>2005</c:v>
                </c:pt>
                <c:pt idx="6">
                  <c:v>2006</c:v>
                </c:pt>
                <c:pt idx="7">
                  <c:v>2007</c:v>
                </c:pt>
                <c:pt idx="8">
                  <c:v>2008</c:v>
                </c:pt>
                <c:pt idx="9">
                  <c:v>2009</c:v>
                </c:pt>
                <c:pt idx="10">
                  <c:v>2010</c:v>
                </c:pt>
                <c:pt idx="11">
                  <c:v>2011</c:v>
                </c:pt>
              </c:numCache>
            </c:numRef>
          </c:cat>
          <c:val>
            <c:numRef>
              <c:f>Sheet1!$C$2:$C$13</c:f>
              <c:numCache>
                <c:formatCode>General</c:formatCode>
                <c:ptCount val="12"/>
                <c:pt idx="0">
                  <c:v>117.9</c:v>
                </c:pt>
                <c:pt idx="1">
                  <c:v>131.69999999999999</c:v>
                </c:pt>
                <c:pt idx="2">
                  <c:v>142.69999999999999</c:v>
                </c:pt>
                <c:pt idx="3">
                  <c:v>119.2</c:v>
                </c:pt>
                <c:pt idx="4" formatCode="0.0">
                  <c:v>111</c:v>
                </c:pt>
                <c:pt idx="5" formatCode="0.0">
                  <c:v>112.7</c:v>
                </c:pt>
                <c:pt idx="6" formatCode="0.0">
                  <c:v>135.30000000000001</c:v>
                </c:pt>
                <c:pt idx="7">
                  <c:v>156.1</c:v>
                </c:pt>
                <c:pt idx="8">
                  <c:v>111.8</c:v>
                </c:pt>
                <c:pt idx="9">
                  <c:v>91.1</c:v>
                </c:pt>
                <c:pt idx="10">
                  <c:v>98.4</c:v>
                </c:pt>
                <c:pt idx="11">
                  <c:v>103.5</c:v>
                </c:pt>
              </c:numCache>
            </c:numRef>
          </c:val>
        </c:ser>
        <c:dLbls>
          <c:showLegendKey val="0"/>
          <c:showVal val="1"/>
          <c:showCatName val="0"/>
          <c:showSerName val="0"/>
          <c:showPercent val="0"/>
          <c:showBubbleSize val="0"/>
        </c:dLbls>
        <c:axId val="147785600"/>
        <c:axId val="147809024"/>
      </c:areaChart>
      <c:lineChart>
        <c:grouping val="standard"/>
        <c:varyColors val="0"/>
        <c:ser>
          <c:idx val="0"/>
          <c:order val="0"/>
          <c:tx>
            <c:strRef>
              <c:f>Sheet1!$B$1</c:f>
              <c:strCache>
                <c:ptCount val="1"/>
                <c:pt idx="0">
                  <c:v>Сводный индекс цен в строительстве</c:v>
                </c:pt>
              </c:strCache>
            </c:strRef>
          </c:tx>
          <c:spPr>
            <a:ln w="34925">
              <a:solidFill>
                <a:srgbClr val="FF0000"/>
              </a:solidFill>
              <a:prstDash val="solid"/>
            </a:ln>
          </c:spPr>
          <c:marker>
            <c:symbol val="circle"/>
            <c:size val="8"/>
            <c:spPr>
              <a:gradFill>
                <a:gsLst>
                  <a:gs pos="0">
                    <a:srgbClr val="C0504D">
                      <a:lumMod val="60000"/>
                      <a:lumOff val="40000"/>
                    </a:srgbClr>
                  </a:gs>
                  <a:gs pos="50000">
                    <a:srgbClr val="FF0000"/>
                  </a:gs>
                  <a:gs pos="100000">
                    <a:srgbClr val="4F81BD">
                      <a:tint val="23500"/>
                      <a:satMod val="160000"/>
                    </a:srgbClr>
                  </a:gs>
                </a:gsLst>
                <a:lin ang="5400000" scaled="0"/>
              </a:gradFill>
              <a:ln>
                <a:solidFill>
                  <a:srgbClr val="000000"/>
                </a:solidFill>
                <a:prstDash val="solid"/>
              </a:ln>
            </c:spPr>
          </c:marker>
          <c:dLbls>
            <c:numFmt formatCode="#,##0.0" sourceLinked="0"/>
            <c:spPr>
              <a:solidFill>
                <a:srgbClr val="C0504D">
                  <a:lumMod val="20000"/>
                  <a:lumOff val="80000"/>
                  <a:alpha val="50000"/>
                </a:srgbClr>
              </a:solidFill>
            </c:spPr>
            <c:txPr>
              <a:bodyPr/>
              <a:lstStyle/>
              <a:p>
                <a:pPr>
                  <a:defRPr sz="1000"/>
                </a:pPr>
                <a:endParaRPr lang="ru-RU"/>
              </a:p>
            </c:txPr>
            <c:dLblPos val="t"/>
            <c:showLegendKey val="0"/>
            <c:showVal val="1"/>
            <c:showCatName val="0"/>
            <c:showSerName val="0"/>
            <c:showPercent val="0"/>
            <c:showBubbleSize val="0"/>
            <c:showLeaderLines val="0"/>
          </c:dLbls>
          <c:cat>
            <c:numRef>
              <c:f>Sheet1!$A$2:$A$13</c:f>
              <c:numCache>
                <c:formatCode>General</c:formatCode>
                <c:ptCount val="12"/>
                <c:pt idx="0">
                  <c:v>2000</c:v>
                </c:pt>
                <c:pt idx="1">
                  <c:v>2001</c:v>
                </c:pt>
                <c:pt idx="2">
                  <c:v>2002</c:v>
                </c:pt>
                <c:pt idx="3">
                  <c:v>2003</c:v>
                </c:pt>
                <c:pt idx="4">
                  <c:v>2004</c:v>
                </c:pt>
                <c:pt idx="5">
                  <c:v>2005</c:v>
                </c:pt>
                <c:pt idx="6">
                  <c:v>2006</c:v>
                </c:pt>
                <c:pt idx="7">
                  <c:v>2007</c:v>
                </c:pt>
                <c:pt idx="8">
                  <c:v>2008</c:v>
                </c:pt>
                <c:pt idx="9">
                  <c:v>2009</c:v>
                </c:pt>
                <c:pt idx="10">
                  <c:v>2010</c:v>
                </c:pt>
                <c:pt idx="11">
                  <c:v>2011</c:v>
                </c:pt>
              </c:numCache>
            </c:numRef>
          </c:cat>
          <c:val>
            <c:numRef>
              <c:f>Sheet1!$B$2:$B$13</c:f>
              <c:numCache>
                <c:formatCode>General</c:formatCode>
                <c:ptCount val="12"/>
                <c:pt idx="0">
                  <c:v>138.19999999999999</c:v>
                </c:pt>
                <c:pt idx="1">
                  <c:v>111.6</c:v>
                </c:pt>
                <c:pt idx="2">
                  <c:v>109</c:v>
                </c:pt>
                <c:pt idx="3">
                  <c:v>108.3</c:v>
                </c:pt>
                <c:pt idx="4" formatCode="0.0">
                  <c:v>113.2</c:v>
                </c:pt>
                <c:pt idx="5" formatCode="0.0">
                  <c:v>110.6</c:v>
                </c:pt>
                <c:pt idx="6" formatCode="0.0">
                  <c:v>111.8</c:v>
                </c:pt>
                <c:pt idx="7">
                  <c:v>118.9</c:v>
                </c:pt>
                <c:pt idx="8">
                  <c:v>121.8</c:v>
                </c:pt>
                <c:pt idx="9">
                  <c:v>101</c:v>
                </c:pt>
                <c:pt idx="10">
                  <c:v>107.4</c:v>
                </c:pt>
                <c:pt idx="11">
                  <c:v>106.1</c:v>
                </c:pt>
              </c:numCache>
            </c:numRef>
          </c:val>
          <c:smooth val="0"/>
        </c:ser>
        <c:dLbls>
          <c:showLegendKey val="0"/>
          <c:showVal val="1"/>
          <c:showCatName val="0"/>
          <c:showSerName val="0"/>
          <c:showPercent val="0"/>
          <c:showBubbleSize val="0"/>
        </c:dLbls>
        <c:marker val="1"/>
        <c:smooth val="0"/>
        <c:axId val="147816448"/>
        <c:axId val="147810560"/>
      </c:lineChart>
      <c:catAx>
        <c:axId val="147785600"/>
        <c:scaling>
          <c:orientation val="minMax"/>
        </c:scaling>
        <c:delete val="0"/>
        <c:axPos val="b"/>
        <c:numFmt formatCode="General" sourceLinked="1"/>
        <c:majorTickMark val="out"/>
        <c:minorTickMark val="none"/>
        <c:tickLblPos val="nextTo"/>
        <c:spPr>
          <a:ln w="2454">
            <a:solidFill>
              <a:srgbClr val="000000"/>
            </a:solidFill>
            <a:prstDash val="solid"/>
          </a:ln>
        </c:spPr>
        <c:txPr>
          <a:bodyPr rot="-5400000" vert="horz"/>
          <a:lstStyle/>
          <a:p>
            <a:pPr>
              <a:defRPr sz="1000" b="1" i="0" u="none" strike="noStrike" baseline="0">
                <a:solidFill>
                  <a:srgbClr val="000000"/>
                </a:solidFill>
                <a:latin typeface="Arial" pitchFamily="34" charset="0"/>
                <a:ea typeface="Arial CYR"/>
                <a:cs typeface="Arial" pitchFamily="34" charset="0"/>
              </a:defRPr>
            </a:pPr>
            <a:endParaRPr lang="ru-RU"/>
          </a:p>
        </c:txPr>
        <c:crossAx val="147809024"/>
        <c:crossesAt val="80"/>
        <c:auto val="0"/>
        <c:lblAlgn val="ctr"/>
        <c:lblOffset val="100"/>
        <c:tickLblSkip val="1"/>
        <c:tickMarkSkip val="1"/>
        <c:noMultiLvlLbl val="0"/>
      </c:catAx>
      <c:valAx>
        <c:axId val="147809024"/>
        <c:scaling>
          <c:orientation val="minMax"/>
          <c:min val="80"/>
        </c:scaling>
        <c:delete val="0"/>
        <c:axPos val="l"/>
        <c:numFmt formatCode="0" sourceLinked="0"/>
        <c:majorTickMark val="out"/>
        <c:minorTickMark val="none"/>
        <c:tickLblPos val="nextTo"/>
        <c:spPr>
          <a:ln w="2454">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147785600"/>
        <c:crosses val="autoZero"/>
        <c:crossBetween val="between"/>
        <c:majorUnit val="20"/>
        <c:minorUnit val="10"/>
      </c:valAx>
      <c:valAx>
        <c:axId val="147810560"/>
        <c:scaling>
          <c:orientation val="minMax"/>
          <c:min val="80"/>
        </c:scaling>
        <c:delete val="1"/>
        <c:axPos val="r"/>
        <c:numFmt formatCode="General" sourceLinked="1"/>
        <c:majorTickMark val="out"/>
        <c:minorTickMark val="none"/>
        <c:tickLblPos val="nextTo"/>
        <c:crossAx val="147816448"/>
        <c:crosses val="max"/>
        <c:crossBetween val="between"/>
      </c:valAx>
      <c:catAx>
        <c:axId val="147816448"/>
        <c:scaling>
          <c:orientation val="minMax"/>
        </c:scaling>
        <c:delete val="1"/>
        <c:axPos val="b"/>
        <c:numFmt formatCode="General" sourceLinked="1"/>
        <c:majorTickMark val="out"/>
        <c:minorTickMark val="none"/>
        <c:tickLblPos val="nextTo"/>
        <c:crossAx val="147810560"/>
        <c:crossesAt val="80"/>
        <c:auto val="1"/>
        <c:lblAlgn val="ctr"/>
        <c:lblOffset val="100"/>
        <c:noMultiLvlLbl val="0"/>
      </c:catAx>
      <c:spPr>
        <a:blipFill dpi="0" rotWithShape="1">
          <a:blip xmlns:r="http://schemas.openxmlformats.org/officeDocument/2006/relationships" r:embed="rId1">
            <a:alphaModFix amt="35000"/>
          </a:blip>
          <a:srcRect/>
          <a:stretch>
            <a:fillRect/>
          </a:stretch>
        </a:blipFill>
        <a:ln w="19634">
          <a:noFill/>
        </a:ln>
      </c:spPr>
    </c:plotArea>
    <c:legend>
      <c:legendPos val="b"/>
      <c:overlay val="0"/>
      <c:spPr>
        <a:solidFill>
          <a:srgbClr val="FFFFFF"/>
        </a:solidFill>
        <a:ln w="2454">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ru-RU"/>
        </a:p>
      </c:txPr>
    </c:legend>
    <c:plotVisOnly val="1"/>
    <c:dispBlanksAs val="gap"/>
    <c:showDLblsOverMax val="0"/>
  </c:chart>
  <c:spPr>
    <a:noFill/>
    <a:ln>
      <a:noFill/>
    </a:ln>
  </c:spPr>
  <c:txPr>
    <a:bodyPr/>
    <a:lstStyle/>
    <a:p>
      <a:pPr>
        <a:spcBef>
          <a:spcPts val="600"/>
        </a:spcBef>
        <a:defRPr sz="773" b="0" i="0" u="none" strike="noStrike" baseline="0">
          <a:solidFill>
            <a:srgbClr val="000000"/>
          </a:solidFill>
          <a:latin typeface="Arial"/>
          <a:ea typeface="Arial"/>
          <a:cs typeface="Arial"/>
        </a:defRPr>
      </a:pPr>
      <a:endParaRPr lang="ru-RU"/>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0"/>
    <c:plotArea>
      <c:layout>
        <c:manualLayout>
          <c:layoutTarget val="inner"/>
          <c:xMode val="edge"/>
          <c:yMode val="edge"/>
          <c:x val="6.0891249526060079E-2"/>
          <c:y val="3.6105800412112393E-2"/>
          <c:w val="0.90152762000439268"/>
          <c:h val="0.83851237136435575"/>
        </c:manualLayout>
      </c:layout>
      <c:barChart>
        <c:barDir val="col"/>
        <c:grouping val="clustered"/>
        <c:varyColors val="0"/>
        <c:ser>
          <c:idx val="0"/>
          <c:order val="0"/>
          <c:tx>
            <c:strRef>
              <c:f>Лист1!$B$1</c:f>
              <c:strCache>
                <c:ptCount val="1"/>
                <c:pt idx="0">
                  <c:v>Первичный рынок</c:v>
                </c:pt>
              </c:strCache>
            </c:strRef>
          </c:tx>
          <c:invertIfNegative val="0"/>
          <c:dLbls>
            <c:numFmt formatCode="#,##0" sourceLinked="0"/>
            <c:spPr>
              <a:solidFill>
                <a:sysClr val="window" lastClr="FFFFFF"/>
              </a:solidFill>
            </c:spPr>
            <c:txPr>
              <a:bodyPr rot="-5400000" vert="horz"/>
              <a:lstStyle/>
              <a:p>
                <a:pPr>
                  <a:defRPr b="0" i="0" baseline="0">
                    <a:latin typeface="Arial" pitchFamily="34" charset="0"/>
                  </a:defRPr>
                </a:pPr>
                <a:endParaRPr lang="ru-RU"/>
              </a:p>
            </c:txPr>
            <c:showLegendKey val="0"/>
            <c:showVal val="1"/>
            <c:showCatName val="0"/>
            <c:showSerName val="0"/>
            <c:showPercent val="0"/>
            <c:showBubbleSize val="0"/>
            <c:showLeaderLines val="0"/>
          </c:dLbls>
          <c:cat>
            <c:numRef>
              <c:f>Лист1!$A$2:$A$17</c:f>
              <c:numCache>
                <c:formatCode>General</c:formatCode>
                <c:ptCount val="1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numCache>
            </c:numRef>
          </c:cat>
          <c:val>
            <c:numRef>
              <c:f>Лист1!$B$2:$B$17</c:f>
              <c:numCache>
                <c:formatCode>General</c:formatCode>
                <c:ptCount val="16"/>
                <c:pt idx="0">
                  <c:v>2450.1</c:v>
                </c:pt>
                <c:pt idx="1">
                  <c:v>2538.4</c:v>
                </c:pt>
                <c:pt idx="2">
                  <c:v>2947.8</c:v>
                </c:pt>
                <c:pt idx="3">
                  <c:v>4309.9000000000005</c:v>
                </c:pt>
                <c:pt idx="4">
                  <c:v>4185.3</c:v>
                </c:pt>
                <c:pt idx="5">
                  <c:v>5636.7</c:v>
                </c:pt>
                <c:pt idx="6">
                  <c:v>8214.2000000000007</c:v>
                </c:pt>
                <c:pt idx="7">
                  <c:v>9829.2000000000007</c:v>
                </c:pt>
                <c:pt idx="8">
                  <c:v>11329.5</c:v>
                </c:pt>
                <c:pt idx="9">
                  <c:v>13025.1</c:v>
                </c:pt>
                <c:pt idx="10">
                  <c:v>20162.3</c:v>
                </c:pt>
                <c:pt idx="11">
                  <c:v>31355.4</c:v>
                </c:pt>
                <c:pt idx="12">
                  <c:v>36743.800000000003</c:v>
                </c:pt>
                <c:pt idx="13">
                  <c:v>32692</c:v>
                </c:pt>
                <c:pt idx="14">
                  <c:v>33329.599999999999</c:v>
                </c:pt>
                <c:pt idx="15">
                  <c:v>33030</c:v>
                </c:pt>
              </c:numCache>
            </c:numRef>
          </c:val>
        </c:ser>
        <c:ser>
          <c:idx val="1"/>
          <c:order val="1"/>
          <c:tx>
            <c:strRef>
              <c:f>Лист1!$C$1</c:f>
              <c:strCache>
                <c:ptCount val="1"/>
                <c:pt idx="0">
                  <c:v>Вторичный рынок</c:v>
                </c:pt>
              </c:strCache>
            </c:strRef>
          </c:tx>
          <c:spPr>
            <a:gradFill>
              <a:gsLst>
                <a:gs pos="0">
                  <a:srgbClr val="FFFFFF"/>
                </a:gs>
                <a:gs pos="7001">
                  <a:srgbClr val="E6E6E6"/>
                </a:gs>
                <a:gs pos="32001">
                  <a:srgbClr val="7D8496"/>
                </a:gs>
                <a:gs pos="47000">
                  <a:srgbClr val="E6E6E6"/>
                </a:gs>
                <a:gs pos="85001">
                  <a:srgbClr val="7D8496"/>
                </a:gs>
                <a:gs pos="100000">
                  <a:srgbClr val="E6E6E6"/>
                </a:gs>
              </a:gsLst>
              <a:lin ang="5400000" scaled="0"/>
            </a:gradFill>
          </c:spPr>
          <c:invertIfNegative val="0"/>
          <c:dLbls>
            <c:numFmt formatCode="#,##0" sourceLinked="0"/>
            <c:spPr>
              <a:solidFill>
                <a:sysClr val="window" lastClr="FFFFFF"/>
              </a:solidFill>
            </c:spPr>
            <c:txPr>
              <a:bodyPr rot="-5400000" vert="horz"/>
              <a:lstStyle/>
              <a:p>
                <a:pPr>
                  <a:defRPr b="0" i="0" baseline="0">
                    <a:latin typeface="Arial" pitchFamily="34" charset="0"/>
                  </a:defRPr>
                </a:pPr>
                <a:endParaRPr lang="ru-RU"/>
              </a:p>
            </c:txPr>
            <c:showLegendKey val="0"/>
            <c:showVal val="1"/>
            <c:showCatName val="0"/>
            <c:showSerName val="0"/>
            <c:showPercent val="0"/>
            <c:showBubbleSize val="0"/>
            <c:showLeaderLines val="0"/>
          </c:dLbls>
          <c:cat>
            <c:numRef>
              <c:f>Лист1!$A$2:$A$17</c:f>
              <c:numCache>
                <c:formatCode>General</c:formatCode>
                <c:ptCount val="1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numCache>
            </c:numRef>
          </c:cat>
          <c:val>
            <c:numRef>
              <c:f>Лист1!$C$2:$C$17</c:f>
              <c:numCache>
                <c:formatCode>General</c:formatCode>
                <c:ptCount val="16"/>
                <c:pt idx="0">
                  <c:v>1604.4</c:v>
                </c:pt>
                <c:pt idx="1">
                  <c:v>2465.5</c:v>
                </c:pt>
                <c:pt idx="2">
                  <c:v>3045.6</c:v>
                </c:pt>
                <c:pt idx="3">
                  <c:v>4168.9000000000005</c:v>
                </c:pt>
                <c:pt idx="4">
                  <c:v>3787.4</c:v>
                </c:pt>
                <c:pt idx="5">
                  <c:v>5467</c:v>
                </c:pt>
                <c:pt idx="6">
                  <c:v>7611.9</c:v>
                </c:pt>
                <c:pt idx="7">
                  <c:v>9115</c:v>
                </c:pt>
                <c:pt idx="8">
                  <c:v>10588.5</c:v>
                </c:pt>
                <c:pt idx="9">
                  <c:v>12887</c:v>
                </c:pt>
                <c:pt idx="10">
                  <c:v>18191.099999999897</c:v>
                </c:pt>
                <c:pt idx="11">
                  <c:v>29464</c:v>
                </c:pt>
                <c:pt idx="12">
                  <c:v>33005.1</c:v>
                </c:pt>
                <c:pt idx="13">
                  <c:v>29558</c:v>
                </c:pt>
                <c:pt idx="14">
                  <c:v>30998.799999999996</c:v>
                </c:pt>
                <c:pt idx="15">
                  <c:v>33289.82</c:v>
                </c:pt>
              </c:numCache>
            </c:numRef>
          </c:val>
        </c:ser>
        <c:dLbls>
          <c:showLegendKey val="0"/>
          <c:showVal val="0"/>
          <c:showCatName val="0"/>
          <c:showSerName val="0"/>
          <c:showPercent val="0"/>
          <c:showBubbleSize val="0"/>
        </c:dLbls>
        <c:gapWidth val="150"/>
        <c:axId val="413025792"/>
        <c:axId val="413027328"/>
      </c:barChart>
      <c:catAx>
        <c:axId val="413025792"/>
        <c:scaling>
          <c:orientation val="minMax"/>
        </c:scaling>
        <c:delete val="0"/>
        <c:axPos val="b"/>
        <c:numFmt formatCode="General" sourceLinked="1"/>
        <c:majorTickMark val="out"/>
        <c:minorTickMark val="none"/>
        <c:tickLblPos val="nextTo"/>
        <c:txPr>
          <a:bodyPr/>
          <a:lstStyle/>
          <a:p>
            <a:pPr>
              <a:defRPr sz="1100" b="0" i="0" baseline="0">
                <a:latin typeface="Arial" pitchFamily="34" charset="0"/>
              </a:defRPr>
            </a:pPr>
            <a:endParaRPr lang="ru-RU"/>
          </a:p>
        </c:txPr>
        <c:crossAx val="413027328"/>
        <c:crosses val="autoZero"/>
        <c:auto val="1"/>
        <c:lblAlgn val="ctr"/>
        <c:lblOffset val="100"/>
        <c:noMultiLvlLbl val="0"/>
      </c:catAx>
      <c:valAx>
        <c:axId val="413027328"/>
        <c:scaling>
          <c:orientation val="minMax"/>
          <c:max val="45000"/>
          <c:min val="0"/>
        </c:scaling>
        <c:delete val="0"/>
        <c:axPos val="l"/>
        <c:majorGridlines/>
        <c:numFmt formatCode="General" sourceLinked="1"/>
        <c:majorTickMark val="out"/>
        <c:minorTickMark val="none"/>
        <c:tickLblPos val="nextTo"/>
        <c:txPr>
          <a:bodyPr/>
          <a:lstStyle/>
          <a:p>
            <a:pPr>
              <a:defRPr sz="1100" baseline="0">
                <a:latin typeface="Arial" pitchFamily="34" charset="0"/>
              </a:defRPr>
            </a:pPr>
            <a:endParaRPr lang="ru-RU"/>
          </a:p>
        </c:txPr>
        <c:crossAx val="413025792"/>
        <c:crosses val="autoZero"/>
        <c:crossBetween val="between"/>
      </c:valAx>
    </c:plotArea>
    <c:legend>
      <c:legendPos val="r"/>
      <c:layout>
        <c:manualLayout>
          <c:xMode val="edge"/>
          <c:yMode val="edge"/>
          <c:x val="0.21532627159930157"/>
          <c:y val="0.92821626609436758"/>
          <c:w val="0.58081234042871432"/>
          <c:h val="7.1428502734867866E-2"/>
        </c:manualLayout>
      </c:layout>
      <c:overlay val="0"/>
      <c:txPr>
        <a:bodyPr/>
        <a:lstStyle/>
        <a:p>
          <a:pPr>
            <a:defRPr sz="1200" baseline="0">
              <a:latin typeface="Arial" pitchFamily="34" charset="0"/>
            </a:defRPr>
          </a:pPr>
          <a:endParaRPr lang="ru-RU"/>
        </a:p>
      </c:txPr>
    </c:legend>
    <c:plotVisOnly val="1"/>
    <c:dispBlanksAs val="gap"/>
    <c:showDLblsOverMax val="0"/>
  </c:chart>
  <c:spPr>
    <a:gradFill flip="none" rotWithShape="1">
      <a:gsLst>
        <a:gs pos="0">
          <a:schemeClr val="tx2">
            <a:lumMod val="20000"/>
            <a:lumOff val="80000"/>
          </a:schemeClr>
        </a:gs>
        <a:gs pos="50000">
          <a:sysClr val="window" lastClr="FFFFFF"/>
        </a:gs>
        <a:gs pos="100000">
          <a:srgbClr val="4BACC6">
            <a:lumMod val="60000"/>
            <a:lumOff val="40000"/>
          </a:srgbClr>
        </a:gs>
      </a:gsLst>
      <a:lin ang="10800000" scaled="1"/>
      <a:tileRect/>
    </a:gradFill>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aseline="0"/>
              <a:t>2010</a:t>
            </a:r>
            <a:endParaRPr lang="en-US" sz="1400" baseline="0"/>
          </a:p>
        </c:rich>
      </c:tx>
      <c:overlay val="0"/>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5037037037037485"/>
          <c:y val="0.28125"/>
          <c:w val="0.46370370370370378"/>
          <c:h val="0.43055555555555558"/>
        </c:manualLayout>
      </c:layout>
      <c:pie3DChart>
        <c:varyColors val="1"/>
        <c:ser>
          <c:idx val="0"/>
          <c:order val="0"/>
          <c:tx>
            <c:strRef>
              <c:f>Sheet1!$A$2</c:f>
              <c:strCache>
                <c:ptCount val="1"/>
              </c:strCache>
            </c:strRef>
          </c:tx>
          <c:explosion val="25"/>
          <c:dLbls>
            <c:dLbl>
              <c:idx val="0"/>
              <c:layout>
                <c:manualLayout>
                  <c:x val="-1.4685909395234583E-2"/>
                  <c:y val="-0.12060162266107458"/>
                </c:manualLayout>
              </c:layout>
              <c:tx>
                <c:rich>
                  <a:bodyPr/>
                  <a:lstStyle/>
                  <a:p>
                    <a:r>
                      <a:rPr lang="ru-RU" sz="1000"/>
                      <a:t>Обрабатыва</a:t>
                    </a:r>
                    <a:r>
                      <a:rPr lang="en-US" sz="1000"/>
                      <a:t>-</a:t>
                    </a:r>
                    <a:r>
                      <a:rPr lang="ru-RU" sz="1000"/>
                      <a:t>ющие производства; 30.8</a:t>
                    </a:r>
                  </a:p>
                </c:rich>
              </c:tx>
              <c:showLegendKey val="0"/>
              <c:showVal val="1"/>
              <c:showCatName val="1"/>
              <c:showSerName val="0"/>
              <c:showPercent val="0"/>
              <c:showBubbleSize val="0"/>
            </c:dLbl>
            <c:dLbl>
              <c:idx val="1"/>
              <c:layout>
                <c:manualLayout>
                  <c:x val="9.1884336205376643E-2"/>
                  <c:y val="8.9231446817881546E-2"/>
                </c:manualLayout>
              </c:layout>
              <c:showLegendKey val="0"/>
              <c:showVal val="1"/>
              <c:showCatName val="1"/>
              <c:showSerName val="0"/>
              <c:showPercent val="0"/>
              <c:showBubbleSize val="0"/>
            </c:dLbl>
            <c:dLbl>
              <c:idx val="2"/>
              <c:layout>
                <c:manualLayout>
                  <c:x val="-9.9855956100029827E-2"/>
                  <c:y val="0.12111661554307473"/>
                </c:manualLayout>
              </c:layout>
              <c:showLegendKey val="0"/>
              <c:showVal val="1"/>
              <c:showCatName val="1"/>
              <c:showSerName val="0"/>
              <c:showPercent val="0"/>
              <c:showBubbleSize val="0"/>
            </c:dLbl>
            <c:dLbl>
              <c:idx val="3"/>
              <c:layout>
                <c:manualLayout>
                  <c:x val="2.4915330995596865E-2"/>
                  <c:y val="8.5363278059742642E-2"/>
                </c:manualLayout>
              </c:layout>
              <c:showLegendKey val="0"/>
              <c:showVal val="1"/>
              <c:showCatName val="1"/>
              <c:showSerName val="0"/>
              <c:showPercent val="0"/>
              <c:showBubbleSize val="0"/>
            </c:dLbl>
            <c:dLbl>
              <c:idx val="5"/>
              <c:layout>
                <c:manualLayout>
                  <c:x val="1.6154580999342041E-2"/>
                  <c:y val="-0.14170558012994491"/>
                </c:manualLayout>
              </c:layout>
              <c:showLegendKey val="0"/>
              <c:showVal val="1"/>
              <c:showCatName val="1"/>
              <c:showSerName val="0"/>
              <c:showPercent val="0"/>
              <c:showBubbleSize val="0"/>
            </c:dLbl>
            <c:dLbl>
              <c:idx val="6"/>
              <c:layout>
                <c:manualLayout>
                  <c:x val="0.1249061121859987"/>
                  <c:y val="-0.13208960529350217"/>
                </c:manualLayout>
              </c:layout>
              <c:showLegendKey val="0"/>
              <c:showVal val="1"/>
              <c:showCatName val="1"/>
              <c:showSerName val="0"/>
              <c:showPercent val="0"/>
              <c:showBubbleSize val="0"/>
            </c:dLbl>
            <c:numFmt formatCode="#,##0.0" sourceLinked="0"/>
            <c:showLegendKey val="0"/>
            <c:showVal val="1"/>
            <c:showCatName val="1"/>
            <c:showSerName val="0"/>
            <c:showPercent val="0"/>
            <c:showBubbleSize val="0"/>
            <c:showLeaderLines val="1"/>
          </c:dLbls>
          <c:cat>
            <c:strRef>
              <c:f>Sheet1!$B$1:$H$1</c:f>
              <c:strCache>
                <c:ptCount val="7"/>
                <c:pt idx="0">
                  <c:v>Обрабатывающие производства</c:v>
                </c:pt>
                <c:pt idx="1">
                  <c:v>Добыча полезных ископаемых</c:v>
                </c:pt>
                <c:pt idx="2">
                  <c:v>Транспорт и связь</c:v>
                </c:pt>
                <c:pt idx="3">
                  <c:v>Оптовая и розничная торговля</c:v>
                </c:pt>
                <c:pt idx="4">
                  <c:v>Операции с недвижимым имуществом</c:v>
                </c:pt>
                <c:pt idx="5">
                  <c:v>Строительство</c:v>
                </c:pt>
                <c:pt idx="6">
                  <c:v>Другие</c:v>
                </c:pt>
              </c:strCache>
            </c:strRef>
          </c:cat>
          <c:val>
            <c:numRef>
              <c:f>Sheet1!$B$2:$H$2</c:f>
              <c:numCache>
                <c:formatCode>General</c:formatCode>
                <c:ptCount val="7"/>
                <c:pt idx="0">
                  <c:v>30.8</c:v>
                </c:pt>
                <c:pt idx="1">
                  <c:v>10.8</c:v>
                </c:pt>
                <c:pt idx="2">
                  <c:v>6.1</c:v>
                </c:pt>
                <c:pt idx="3">
                  <c:v>18.5</c:v>
                </c:pt>
                <c:pt idx="4">
                  <c:v>18.5</c:v>
                </c:pt>
                <c:pt idx="5">
                  <c:v>7.7</c:v>
                </c:pt>
                <c:pt idx="6">
                  <c:v>7.6</c:v>
                </c:pt>
              </c:numCache>
            </c:numRef>
          </c:val>
        </c:ser>
        <c:dLbls>
          <c:showLegendKey val="0"/>
          <c:showVal val="1"/>
          <c:showCatName val="0"/>
          <c:showSerName val="0"/>
          <c:showPercent val="0"/>
          <c:showBubbleSize val="0"/>
          <c:showLeaderLines val="1"/>
        </c:dLbls>
      </c:pie3DChart>
    </c:plotArea>
    <c:plotVisOnly val="1"/>
    <c:dispBlanksAs val="zero"/>
    <c:showDLblsOverMax val="0"/>
  </c:chart>
  <c:spPr>
    <a:gradFill>
      <a:gsLst>
        <a:gs pos="0">
          <a:srgbClr val="1F497D">
            <a:lumMod val="20000"/>
            <a:lumOff val="80000"/>
          </a:srgbClr>
        </a:gs>
        <a:gs pos="50000">
          <a:sysClr val="window" lastClr="FFFFFF"/>
        </a:gs>
        <a:gs pos="100000">
          <a:srgbClr val="4BACC6">
            <a:lumMod val="60000"/>
            <a:lumOff val="40000"/>
          </a:srgbClr>
        </a:gs>
      </a:gsLst>
      <a:lin ang="10800000" scaled="1"/>
    </a:gradFill>
    <a:ln w="19050" cmpd="dbl">
      <a:solidFill>
        <a:schemeClr val="tx1"/>
      </a:solid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aseline="0"/>
              <a:t>2011</a:t>
            </a:r>
            <a:endParaRPr lang="en-US" sz="1400" baseline="0"/>
          </a:p>
        </c:rich>
      </c:tx>
      <c:overlay val="0"/>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5037037037037496"/>
          <c:y val="0.28125"/>
          <c:w val="0.46370370370370378"/>
          <c:h val="0.43055555555555558"/>
        </c:manualLayout>
      </c:layout>
      <c:pie3DChart>
        <c:varyColors val="1"/>
        <c:ser>
          <c:idx val="0"/>
          <c:order val="0"/>
          <c:tx>
            <c:strRef>
              <c:f>Sheet1!$A$2</c:f>
              <c:strCache>
                <c:ptCount val="1"/>
              </c:strCache>
            </c:strRef>
          </c:tx>
          <c:explosion val="25"/>
          <c:dLbls>
            <c:dLbl>
              <c:idx val="0"/>
              <c:layout>
                <c:manualLayout>
                  <c:x val="1.4846928628008241E-2"/>
                  <c:y val="-0.14099201508262299"/>
                </c:manualLayout>
              </c:layout>
              <c:tx>
                <c:rich>
                  <a:bodyPr/>
                  <a:lstStyle/>
                  <a:p>
                    <a:r>
                      <a:rPr lang="ru-RU" sz="1000"/>
                      <a:t>Обрабатыва</a:t>
                    </a:r>
                    <a:r>
                      <a:rPr lang="en-US" sz="1000"/>
                      <a:t>-</a:t>
                    </a:r>
                    <a:r>
                      <a:rPr lang="ru-RU" sz="1000"/>
                      <a:t>ющие производства; 36</a:t>
                    </a:r>
                  </a:p>
                </c:rich>
              </c:tx>
              <c:showLegendKey val="0"/>
              <c:showVal val="1"/>
              <c:showCatName val="1"/>
              <c:showSerName val="0"/>
              <c:showPercent val="0"/>
              <c:showBubbleSize val="0"/>
            </c:dLbl>
            <c:dLbl>
              <c:idx val="1"/>
              <c:layout>
                <c:manualLayout>
                  <c:x val="8.6870199507270221E-2"/>
                  <c:y val="8.620148287915623E-2"/>
                </c:manualLayout>
              </c:layout>
              <c:showLegendKey val="0"/>
              <c:showVal val="1"/>
              <c:showCatName val="1"/>
              <c:showSerName val="0"/>
              <c:showPercent val="0"/>
              <c:showBubbleSize val="0"/>
            </c:dLbl>
            <c:dLbl>
              <c:idx val="2"/>
              <c:layout>
                <c:manualLayout>
                  <c:x val="-7.8564159541407011E-2"/>
                  <c:y val="0.14762122476625905"/>
                </c:manualLayout>
              </c:layout>
              <c:showLegendKey val="0"/>
              <c:showVal val="1"/>
              <c:showCatName val="1"/>
              <c:showSerName val="0"/>
              <c:showPercent val="0"/>
              <c:showBubbleSize val="0"/>
            </c:dLbl>
            <c:dLbl>
              <c:idx val="3"/>
              <c:layout>
                <c:manualLayout>
                  <c:x val="2.27290147013832E-2"/>
                  <c:y val="0.10712338377057778"/>
                </c:manualLayout>
              </c:layout>
              <c:showLegendKey val="0"/>
              <c:showVal val="1"/>
              <c:showCatName val="1"/>
              <c:showSerName val="0"/>
              <c:showPercent val="0"/>
              <c:showBubbleSize val="0"/>
            </c:dLbl>
            <c:dLbl>
              <c:idx val="4"/>
              <c:layout>
                <c:manualLayout>
                  <c:x val="-2.0885398523607941E-2"/>
                  <c:y val="-4.0357796384606924E-2"/>
                </c:manualLayout>
              </c:layout>
              <c:showLegendKey val="0"/>
              <c:showVal val="1"/>
              <c:showCatName val="1"/>
              <c:showSerName val="0"/>
              <c:showPercent val="0"/>
              <c:showBubbleSize val="0"/>
            </c:dLbl>
            <c:dLbl>
              <c:idx val="5"/>
              <c:layout>
                <c:manualLayout>
                  <c:x val="2.9573450557944096E-3"/>
                  <c:y val="-0.15788671577343191"/>
                </c:manualLayout>
              </c:layout>
              <c:showLegendKey val="0"/>
              <c:showVal val="1"/>
              <c:showCatName val="1"/>
              <c:showSerName val="0"/>
              <c:showPercent val="0"/>
              <c:showBubbleSize val="0"/>
            </c:dLbl>
            <c:dLbl>
              <c:idx val="6"/>
              <c:layout>
                <c:manualLayout>
                  <c:x val="0.13627140234277549"/>
                  <c:y val="-0.17779749362315644"/>
                </c:manualLayout>
              </c:layout>
              <c:showLegendKey val="0"/>
              <c:showVal val="1"/>
              <c:showCatName val="1"/>
              <c:showSerName val="0"/>
              <c:showPercent val="0"/>
              <c:showBubbleSize val="0"/>
            </c:dLbl>
            <c:showLegendKey val="0"/>
            <c:showVal val="1"/>
            <c:showCatName val="1"/>
            <c:showSerName val="0"/>
            <c:showPercent val="0"/>
            <c:showBubbleSize val="0"/>
            <c:showLeaderLines val="1"/>
          </c:dLbls>
          <c:cat>
            <c:strRef>
              <c:f>Sheet1!$B$1:$H$1</c:f>
              <c:strCache>
                <c:ptCount val="7"/>
                <c:pt idx="0">
                  <c:v>Обрабатывающие производства</c:v>
                </c:pt>
                <c:pt idx="1">
                  <c:v>Добыча полезных ископаемых</c:v>
                </c:pt>
                <c:pt idx="2">
                  <c:v>Транспорт и связь</c:v>
                </c:pt>
                <c:pt idx="3">
                  <c:v>Оптовая и розничная торговля</c:v>
                </c:pt>
                <c:pt idx="4">
                  <c:v>Операции с недвижимым имуществом</c:v>
                </c:pt>
                <c:pt idx="5">
                  <c:v>Строительство</c:v>
                </c:pt>
                <c:pt idx="6">
                  <c:v>Другие</c:v>
                </c:pt>
              </c:strCache>
            </c:strRef>
          </c:cat>
          <c:val>
            <c:numRef>
              <c:f>Sheet1!$B$2:$H$2</c:f>
              <c:numCache>
                <c:formatCode>General</c:formatCode>
                <c:ptCount val="7"/>
                <c:pt idx="0">
                  <c:v>36</c:v>
                </c:pt>
                <c:pt idx="1">
                  <c:v>5.3</c:v>
                </c:pt>
                <c:pt idx="2">
                  <c:v>6.7</c:v>
                </c:pt>
                <c:pt idx="3">
                  <c:v>17.3</c:v>
                </c:pt>
                <c:pt idx="4">
                  <c:v>17.3</c:v>
                </c:pt>
                <c:pt idx="5">
                  <c:v>10.7</c:v>
                </c:pt>
                <c:pt idx="6">
                  <c:v>6.7</c:v>
                </c:pt>
              </c:numCache>
            </c:numRef>
          </c:val>
        </c:ser>
        <c:dLbls>
          <c:showLegendKey val="0"/>
          <c:showVal val="1"/>
          <c:showCatName val="0"/>
          <c:showSerName val="0"/>
          <c:showPercent val="0"/>
          <c:showBubbleSize val="0"/>
          <c:showLeaderLines val="1"/>
        </c:dLbls>
      </c:pie3DChart>
    </c:plotArea>
    <c:plotVisOnly val="1"/>
    <c:dispBlanksAs val="zero"/>
    <c:showDLblsOverMax val="0"/>
  </c:chart>
  <c:spPr>
    <a:gradFill>
      <a:gsLst>
        <a:gs pos="0">
          <a:srgbClr val="1F497D">
            <a:lumMod val="20000"/>
            <a:lumOff val="80000"/>
          </a:srgbClr>
        </a:gs>
        <a:gs pos="50000">
          <a:sysClr val="window" lastClr="FFFFFF"/>
        </a:gs>
        <a:gs pos="100000">
          <a:srgbClr val="4BACC6">
            <a:lumMod val="60000"/>
            <a:lumOff val="40000"/>
          </a:srgbClr>
        </a:gs>
      </a:gsLst>
      <a:lin ang="10800000" scaled="1"/>
    </a:gradFill>
    <a:ln w="19050">
      <a:solidFill>
        <a:schemeClr val="tx1"/>
      </a:solid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569777305948123E-2"/>
          <c:y val="2.9548650528721881E-2"/>
          <c:w val="0.94295302013422821"/>
          <c:h val="0.75590551181102361"/>
        </c:manualLayout>
      </c:layout>
      <c:barChart>
        <c:barDir val="col"/>
        <c:grouping val="clustered"/>
        <c:varyColors val="0"/>
        <c:ser>
          <c:idx val="1"/>
          <c:order val="0"/>
          <c:tx>
            <c:strRef>
              <c:f>Sheet1!$A$2</c:f>
              <c:strCache>
                <c:ptCount val="1"/>
                <c:pt idx="0">
                  <c:v>экспорт</c:v>
                </c:pt>
              </c:strCache>
            </c:strRef>
          </c:tx>
          <c:spPr>
            <a:solidFill>
              <a:srgbClr val="99CCFF"/>
            </a:solidFill>
            <a:ln w="13113">
              <a:solidFill>
                <a:srgbClr val="000000"/>
              </a:solidFill>
              <a:prstDash val="solid"/>
            </a:ln>
            <a:scene3d>
              <a:camera prst="orthographicFront"/>
              <a:lightRig rig="threePt" dir="t"/>
            </a:scene3d>
            <a:sp3d>
              <a:bevelT w="165100" prst="coolSlant"/>
              <a:bevelB w="165100" prst="coolSlant"/>
            </a:sp3d>
          </c:spPr>
          <c:invertIfNegative val="0"/>
          <c:dLbls>
            <c:delete val="1"/>
          </c:dLbls>
          <c:cat>
            <c:numRef>
              <c:f>Sheet1!$B$1:$N$1</c:f>
              <c:numCache>
                <c:formatCode>General</c:formatCode>
                <c:ptCount val="13"/>
                <c:pt idx="0">
                  <c:v>1995</c:v>
                </c:pt>
                <c:pt idx="1">
                  <c:v>2000</c:v>
                </c:pt>
                <c:pt idx="2">
                  <c:v>2001</c:v>
                </c:pt>
                <c:pt idx="3">
                  <c:v>2002</c:v>
                </c:pt>
                <c:pt idx="4">
                  <c:v>2003</c:v>
                </c:pt>
                <c:pt idx="5">
                  <c:v>2004</c:v>
                </c:pt>
                <c:pt idx="6">
                  <c:v>2005</c:v>
                </c:pt>
                <c:pt idx="7">
                  <c:v>2006</c:v>
                </c:pt>
                <c:pt idx="8">
                  <c:v>2007</c:v>
                </c:pt>
                <c:pt idx="9">
                  <c:v>2008</c:v>
                </c:pt>
                <c:pt idx="10">
                  <c:v>2009</c:v>
                </c:pt>
                <c:pt idx="11">
                  <c:v>2010</c:v>
                </c:pt>
                <c:pt idx="12">
                  <c:v>2011</c:v>
                </c:pt>
              </c:numCache>
            </c:numRef>
          </c:cat>
          <c:val>
            <c:numRef>
              <c:f>Sheet1!$B$2:$N$2</c:f>
              <c:numCache>
                <c:formatCode>General</c:formatCode>
                <c:ptCount val="13"/>
                <c:pt idx="0">
                  <c:v>149.69999999999999</c:v>
                </c:pt>
                <c:pt idx="1">
                  <c:v>117.6</c:v>
                </c:pt>
                <c:pt idx="2">
                  <c:v>111</c:v>
                </c:pt>
                <c:pt idx="3">
                  <c:v>165.8</c:v>
                </c:pt>
                <c:pt idx="4">
                  <c:v>189.6</c:v>
                </c:pt>
                <c:pt idx="5">
                  <c:v>173.5</c:v>
                </c:pt>
                <c:pt idx="6">
                  <c:v>194</c:v>
                </c:pt>
                <c:pt idx="7">
                  <c:v>296.39999999999969</c:v>
                </c:pt>
                <c:pt idx="8">
                  <c:v>420.9</c:v>
                </c:pt>
                <c:pt idx="9">
                  <c:v>332.3</c:v>
                </c:pt>
                <c:pt idx="10">
                  <c:v>237.1</c:v>
                </c:pt>
                <c:pt idx="11">
                  <c:v>371</c:v>
                </c:pt>
                <c:pt idx="12">
                  <c:v>454.2</c:v>
                </c:pt>
              </c:numCache>
            </c:numRef>
          </c:val>
        </c:ser>
        <c:ser>
          <c:idx val="2"/>
          <c:order val="2"/>
          <c:tx>
            <c:strRef>
              <c:f>Sheet1!$A$4</c:f>
              <c:strCache>
                <c:ptCount val="1"/>
                <c:pt idx="0">
                  <c:v>импорт</c:v>
                </c:pt>
              </c:strCache>
            </c:strRef>
          </c:tx>
          <c:spPr>
            <a:solidFill>
              <a:srgbClr val="0000FF"/>
            </a:solidFill>
            <a:ln w="13113">
              <a:solidFill>
                <a:srgbClr val="000000"/>
              </a:solidFill>
              <a:prstDash val="solid"/>
            </a:ln>
            <a:scene3d>
              <a:camera prst="orthographicFront"/>
              <a:lightRig rig="threePt" dir="t"/>
            </a:scene3d>
            <a:sp3d>
              <a:bevelT w="165100" prst="coolSlant"/>
              <a:bevelB w="165100" prst="coolSlant"/>
            </a:sp3d>
          </c:spPr>
          <c:invertIfNegative val="0"/>
          <c:dLbls>
            <c:delete val="1"/>
          </c:dLbls>
          <c:cat>
            <c:numRef>
              <c:f>Sheet1!$B$1:$N$1</c:f>
              <c:numCache>
                <c:formatCode>General</c:formatCode>
                <c:ptCount val="13"/>
                <c:pt idx="0">
                  <c:v>1995</c:v>
                </c:pt>
                <c:pt idx="1">
                  <c:v>2000</c:v>
                </c:pt>
                <c:pt idx="2">
                  <c:v>2001</c:v>
                </c:pt>
                <c:pt idx="3">
                  <c:v>2002</c:v>
                </c:pt>
                <c:pt idx="4">
                  <c:v>2003</c:v>
                </c:pt>
                <c:pt idx="5">
                  <c:v>2004</c:v>
                </c:pt>
                <c:pt idx="6">
                  <c:v>2005</c:v>
                </c:pt>
                <c:pt idx="7">
                  <c:v>2006</c:v>
                </c:pt>
                <c:pt idx="8">
                  <c:v>2007</c:v>
                </c:pt>
                <c:pt idx="9">
                  <c:v>2008</c:v>
                </c:pt>
                <c:pt idx="10">
                  <c:v>2009</c:v>
                </c:pt>
                <c:pt idx="11">
                  <c:v>2010</c:v>
                </c:pt>
                <c:pt idx="12">
                  <c:v>2011</c:v>
                </c:pt>
              </c:numCache>
            </c:numRef>
          </c:cat>
          <c:val>
            <c:numRef>
              <c:f>Sheet1!$B$4:$N$4</c:f>
              <c:numCache>
                <c:formatCode>General</c:formatCode>
                <c:ptCount val="13"/>
                <c:pt idx="0">
                  <c:v>92.8</c:v>
                </c:pt>
                <c:pt idx="1">
                  <c:v>53.3</c:v>
                </c:pt>
                <c:pt idx="2">
                  <c:v>48.4</c:v>
                </c:pt>
                <c:pt idx="3">
                  <c:v>106.7</c:v>
                </c:pt>
                <c:pt idx="4">
                  <c:v>76.099999999999994</c:v>
                </c:pt>
                <c:pt idx="5">
                  <c:v>75.5</c:v>
                </c:pt>
                <c:pt idx="6">
                  <c:v>68.400000000000006</c:v>
                </c:pt>
                <c:pt idx="7">
                  <c:v>126.7</c:v>
                </c:pt>
                <c:pt idx="8">
                  <c:v>221.9</c:v>
                </c:pt>
                <c:pt idx="9">
                  <c:v>212.4</c:v>
                </c:pt>
                <c:pt idx="10">
                  <c:v>147.30000000000001</c:v>
                </c:pt>
                <c:pt idx="11">
                  <c:v>293.7</c:v>
                </c:pt>
                <c:pt idx="12">
                  <c:v>406.8</c:v>
                </c:pt>
              </c:numCache>
            </c:numRef>
          </c:val>
        </c:ser>
        <c:dLbls>
          <c:showLegendKey val="0"/>
          <c:showVal val="1"/>
          <c:showCatName val="0"/>
          <c:showSerName val="0"/>
          <c:showPercent val="0"/>
          <c:showBubbleSize val="0"/>
        </c:dLbls>
        <c:gapWidth val="75"/>
        <c:overlap val="50"/>
        <c:axId val="148604800"/>
        <c:axId val="148652800"/>
      </c:barChart>
      <c:lineChart>
        <c:grouping val="standard"/>
        <c:varyColors val="0"/>
        <c:ser>
          <c:idx val="0"/>
          <c:order val="1"/>
          <c:tx>
            <c:strRef>
              <c:f>Sheet1!$A$3</c:f>
              <c:strCache>
                <c:ptCount val="1"/>
                <c:pt idx="0">
                  <c:v>сальдо</c:v>
                </c:pt>
              </c:strCache>
            </c:strRef>
          </c:tx>
          <c:spPr>
            <a:ln w="34925">
              <a:solidFill>
                <a:srgbClr val="800080"/>
              </a:solidFill>
              <a:prstDash val="solid"/>
            </a:ln>
          </c:spPr>
          <c:marker>
            <c:symbol val="diamond"/>
            <c:size val="10"/>
            <c:spPr>
              <a:solidFill>
                <a:srgbClr val="800080"/>
              </a:solidFill>
              <a:ln>
                <a:solidFill>
                  <a:srgbClr val="800080"/>
                </a:solidFill>
                <a:prstDash val="solid"/>
              </a:ln>
            </c:spPr>
          </c:marker>
          <c:dLbls>
            <c:dLbl>
              <c:idx val="0"/>
              <c:layout>
                <c:manualLayout>
                  <c:x val="-2.8269254515919481E-2"/>
                  <c:y val="-0.11828908041377721"/>
                </c:manualLayout>
              </c:layout>
              <c:dLblPos val="r"/>
              <c:showLegendKey val="0"/>
              <c:showVal val="1"/>
              <c:showCatName val="0"/>
              <c:showSerName val="0"/>
              <c:showPercent val="0"/>
              <c:showBubbleSize val="0"/>
            </c:dLbl>
            <c:dLbl>
              <c:idx val="1"/>
              <c:layout>
                <c:manualLayout>
                  <c:x val="-2.0718914632301803E-2"/>
                  <c:y val="-0.12160674458335342"/>
                </c:manualLayout>
              </c:layout>
              <c:dLblPos val="r"/>
              <c:showLegendKey val="0"/>
              <c:showVal val="1"/>
              <c:showCatName val="0"/>
              <c:showSerName val="0"/>
              <c:showPercent val="0"/>
              <c:showBubbleSize val="0"/>
            </c:dLbl>
            <c:dLbl>
              <c:idx val="2"/>
              <c:layout>
                <c:manualLayout>
                  <c:x val="-4.2200288873866926E-3"/>
                  <c:y val="-0.10084028935181159"/>
                </c:manualLayout>
              </c:layout>
              <c:dLblPos val="r"/>
              <c:showLegendKey val="0"/>
              <c:showVal val="1"/>
              <c:showCatName val="0"/>
              <c:showSerName val="0"/>
              <c:showPercent val="0"/>
              <c:showBubbleSize val="0"/>
            </c:dLbl>
            <c:dLbl>
              <c:idx val="3"/>
              <c:layout>
                <c:manualLayout>
                  <c:x val="-2.4633894820324315E-2"/>
                  <c:y val="-0.14608960998743944"/>
                </c:manualLayout>
              </c:layout>
              <c:dLblPos val="r"/>
              <c:showLegendKey val="0"/>
              <c:showVal val="1"/>
              <c:showCatName val="0"/>
              <c:showSerName val="0"/>
              <c:showPercent val="0"/>
              <c:showBubbleSize val="0"/>
            </c:dLbl>
            <c:dLbl>
              <c:idx val="4"/>
              <c:layout>
                <c:manualLayout>
                  <c:x val="-1.9320691402030701E-2"/>
                  <c:y val="-0.11376404396644542"/>
                </c:manualLayout>
              </c:layout>
              <c:dLblPos val="r"/>
              <c:showLegendKey val="0"/>
              <c:showVal val="1"/>
              <c:showCatName val="0"/>
              <c:showSerName val="0"/>
              <c:showPercent val="0"/>
              <c:showBubbleSize val="0"/>
            </c:dLbl>
            <c:dLbl>
              <c:idx val="5"/>
              <c:layout>
                <c:manualLayout>
                  <c:x val="-2.5193170310359256E-2"/>
                  <c:y val="-0.12011579639597617"/>
                </c:manualLayout>
              </c:layout>
              <c:dLblPos val="r"/>
              <c:showLegendKey val="0"/>
              <c:showVal val="1"/>
              <c:showCatName val="0"/>
              <c:showSerName val="0"/>
              <c:showPercent val="0"/>
              <c:showBubbleSize val="0"/>
            </c:dLbl>
            <c:dLbl>
              <c:idx val="6"/>
              <c:layout>
                <c:manualLayout>
                  <c:x val="-3.8895626847323402E-2"/>
                  <c:y val="-0.11706083138193669"/>
                </c:manualLayout>
              </c:layout>
              <c:dLblPos val="r"/>
              <c:showLegendKey val="0"/>
              <c:showVal val="1"/>
              <c:showCatName val="0"/>
              <c:showSerName val="0"/>
              <c:showPercent val="0"/>
              <c:showBubbleSize val="0"/>
            </c:dLbl>
            <c:dLbl>
              <c:idx val="7"/>
              <c:layout>
                <c:manualLayout>
                  <c:x val="-2.9108150498381374E-2"/>
                  <c:y val="-9.4163207504497123E-2"/>
                </c:manualLayout>
              </c:layout>
              <c:dLblPos val="r"/>
              <c:showLegendKey val="0"/>
              <c:showVal val="1"/>
              <c:showCatName val="0"/>
              <c:showSerName val="0"/>
              <c:showPercent val="0"/>
              <c:showBubbleSize val="0"/>
            </c:dLbl>
            <c:dLbl>
              <c:idx val="8"/>
              <c:layout>
                <c:manualLayout>
                  <c:x val="-4.3220554239448233E-2"/>
                  <c:y val="-0.1333406824146979"/>
                </c:manualLayout>
              </c:layout>
              <c:dLblPos val="r"/>
              <c:showLegendKey val="0"/>
              <c:showVal val="1"/>
              <c:showCatName val="0"/>
              <c:showSerName val="0"/>
              <c:showPercent val="0"/>
              <c:showBubbleSize val="0"/>
            </c:dLbl>
            <c:dLbl>
              <c:idx val="9"/>
              <c:layout>
                <c:manualLayout>
                  <c:x val="-4.7564517711011833E-2"/>
                  <c:y val="-0.16994269331004441"/>
                </c:manualLayout>
              </c:layout>
              <c:dLblPos val="r"/>
              <c:showLegendKey val="0"/>
              <c:showVal val="1"/>
              <c:showCatName val="0"/>
              <c:showSerName val="0"/>
              <c:showPercent val="0"/>
              <c:showBubbleSize val="0"/>
            </c:dLbl>
            <c:dLbl>
              <c:idx val="10"/>
              <c:layout>
                <c:manualLayout>
                  <c:x val="-3.2184200198758874E-2"/>
                  <c:y val="-0.13389027873946141"/>
                </c:manualLayout>
              </c:layout>
              <c:dLblPos val="r"/>
              <c:showLegendKey val="0"/>
              <c:showVal val="1"/>
              <c:showCatName val="0"/>
              <c:showSerName val="0"/>
              <c:showPercent val="0"/>
              <c:showBubbleSize val="0"/>
            </c:dLbl>
            <c:dLbl>
              <c:idx val="11"/>
              <c:layout>
                <c:manualLayout>
                  <c:x val="-3.2463837943776892E-2"/>
                  <c:y val="-9.7176071064470598E-2"/>
                </c:manualLayout>
              </c:layout>
              <c:dLblPos val="r"/>
              <c:showLegendKey val="0"/>
              <c:showVal val="1"/>
              <c:showCatName val="0"/>
              <c:showSerName val="0"/>
              <c:showPercent val="0"/>
              <c:showBubbleSize val="0"/>
            </c:dLbl>
            <c:numFmt formatCode="0.0" sourceLinked="0"/>
            <c:spPr>
              <a:solidFill>
                <a:srgbClr val="FFFFFF"/>
              </a:solidFill>
              <a:ln w="3279">
                <a:solidFill>
                  <a:srgbClr val="000000"/>
                </a:solidFill>
                <a:prstDash val="solid"/>
              </a:ln>
              <a:effectLst>
                <a:outerShdw dist="35921" dir="2700000" algn="br">
                  <a:srgbClr val="000000"/>
                </a:outerShdw>
              </a:effectLst>
            </c:spPr>
            <c:txPr>
              <a:bodyPr/>
              <a:lstStyle/>
              <a:p>
                <a:pPr>
                  <a:defRPr sz="10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numRef>
              <c:f>Sheet1!$B$1:$N$1</c:f>
              <c:numCache>
                <c:formatCode>General</c:formatCode>
                <c:ptCount val="13"/>
                <c:pt idx="0">
                  <c:v>1995</c:v>
                </c:pt>
                <c:pt idx="1">
                  <c:v>2000</c:v>
                </c:pt>
                <c:pt idx="2">
                  <c:v>2001</c:v>
                </c:pt>
                <c:pt idx="3">
                  <c:v>2002</c:v>
                </c:pt>
                <c:pt idx="4">
                  <c:v>2003</c:v>
                </c:pt>
                <c:pt idx="5">
                  <c:v>2004</c:v>
                </c:pt>
                <c:pt idx="6">
                  <c:v>2005</c:v>
                </c:pt>
                <c:pt idx="7">
                  <c:v>2006</c:v>
                </c:pt>
                <c:pt idx="8">
                  <c:v>2007</c:v>
                </c:pt>
                <c:pt idx="9">
                  <c:v>2008</c:v>
                </c:pt>
                <c:pt idx="10">
                  <c:v>2009</c:v>
                </c:pt>
                <c:pt idx="11">
                  <c:v>2010</c:v>
                </c:pt>
                <c:pt idx="12">
                  <c:v>2011</c:v>
                </c:pt>
              </c:numCache>
            </c:numRef>
          </c:cat>
          <c:val>
            <c:numRef>
              <c:f>Sheet1!$B$3:$N$3</c:f>
              <c:numCache>
                <c:formatCode>General</c:formatCode>
                <c:ptCount val="13"/>
                <c:pt idx="0">
                  <c:v>56.9</c:v>
                </c:pt>
                <c:pt idx="1">
                  <c:v>64.3</c:v>
                </c:pt>
                <c:pt idx="2">
                  <c:v>62.6</c:v>
                </c:pt>
                <c:pt idx="3">
                  <c:v>59.1</c:v>
                </c:pt>
                <c:pt idx="4">
                  <c:v>113.5</c:v>
                </c:pt>
                <c:pt idx="5">
                  <c:v>98</c:v>
                </c:pt>
                <c:pt idx="6">
                  <c:v>125.6</c:v>
                </c:pt>
                <c:pt idx="7">
                  <c:v>169.7</c:v>
                </c:pt>
                <c:pt idx="8">
                  <c:v>199</c:v>
                </c:pt>
                <c:pt idx="9">
                  <c:v>119.9</c:v>
                </c:pt>
                <c:pt idx="10">
                  <c:v>89.8</c:v>
                </c:pt>
                <c:pt idx="11">
                  <c:v>77.3</c:v>
                </c:pt>
                <c:pt idx="12">
                  <c:v>47.4</c:v>
                </c:pt>
              </c:numCache>
            </c:numRef>
          </c:val>
          <c:smooth val="0"/>
        </c:ser>
        <c:dLbls>
          <c:showLegendKey val="0"/>
          <c:showVal val="1"/>
          <c:showCatName val="0"/>
          <c:showSerName val="0"/>
          <c:showPercent val="0"/>
          <c:showBubbleSize val="0"/>
        </c:dLbls>
        <c:marker val="1"/>
        <c:smooth val="0"/>
        <c:axId val="148654336"/>
        <c:axId val="150040576"/>
      </c:lineChart>
      <c:catAx>
        <c:axId val="148604800"/>
        <c:scaling>
          <c:orientation val="minMax"/>
        </c:scaling>
        <c:delete val="0"/>
        <c:axPos val="b"/>
        <c:numFmt formatCode="General" sourceLinked="1"/>
        <c:majorTickMark val="cross"/>
        <c:minorTickMark val="none"/>
        <c:tickLblPos val="nextTo"/>
        <c:spPr>
          <a:ln w="3279">
            <a:solidFill>
              <a:srgbClr val="000000"/>
            </a:solidFill>
            <a:prstDash val="solid"/>
          </a:ln>
        </c:spPr>
        <c:txPr>
          <a:bodyPr rot="0" vert="horz"/>
          <a:lstStyle/>
          <a:p>
            <a:pPr>
              <a:defRPr sz="1033" b="0" i="0" u="none" strike="noStrike" baseline="0">
                <a:solidFill>
                  <a:srgbClr val="000000"/>
                </a:solidFill>
                <a:latin typeface="Arial"/>
                <a:ea typeface="Arial"/>
                <a:cs typeface="Arial"/>
              </a:defRPr>
            </a:pPr>
            <a:endParaRPr lang="ru-RU"/>
          </a:p>
        </c:txPr>
        <c:crossAx val="148652800"/>
        <c:crosses val="autoZero"/>
        <c:auto val="0"/>
        <c:lblAlgn val="ctr"/>
        <c:lblOffset val="100"/>
        <c:tickLblSkip val="1"/>
        <c:tickMarkSkip val="1"/>
        <c:noMultiLvlLbl val="0"/>
      </c:catAx>
      <c:valAx>
        <c:axId val="148652800"/>
        <c:scaling>
          <c:orientation val="minMax"/>
        </c:scaling>
        <c:delete val="0"/>
        <c:axPos val="l"/>
        <c:numFmt formatCode="General" sourceLinked="1"/>
        <c:majorTickMark val="cross"/>
        <c:minorTickMark val="none"/>
        <c:tickLblPos val="nextTo"/>
        <c:spPr>
          <a:ln w="3279">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148604800"/>
        <c:crosses val="autoZero"/>
        <c:crossBetween val="between"/>
      </c:valAx>
      <c:catAx>
        <c:axId val="148654336"/>
        <c:scaling>
          <c:orientation val="minMax"/>
        </c:scaling>
        <c:delete val="1"/>
        <c:axPos val="b"/>
        <c:numFmt formatCode="General" sourceLinked="1"/>
        <c:majorTickMark val="out"/>
        <c:minorTickMark val="none"/>
        <c:tickLblPos val="nextTo"/>
        <c:crossAx val="150040576"/>
        <c:crosses val="autoZero"/>
        <c:auto val="0"/>
        <c:lblAlgn val="ctr"/>
        <c:lblOffset val="100"/>
        <c:noMultiLvlLbl val="0"/>
      </c:catAx>
      <c:valAx>
        <c:axId val="150040576"/>
        <c:scaling>
          <c:orientation val="minMax"/>
        </c:scaling>
        <c:delete val="1"/>
        <c:axPos val="l"/>
        <c:numFmt formatCode="General" sourceLinked="1"/>
        <c:majorTickMark val="out"/>
        <c:minorTickMark val="none"/>
        <c:tickLblPos val="nextTo"/>
        <c:crossAx val="148654336"/>
        <c:crosses val="autoZero"/>
        <c:crossBetween val="between"/>
      </c:valAx>
      <c:spPr>
        <a:blipFill dpi="0" rotWithShape="1">
          <a:blip xmlns:r="http://schemas.openxmlformats.org/officeDocument/2006/relationships" r:embed="rId2">
            <a:alphaModFix amt="70000"/>
          </a:blip>
          <a:srcRect/>
          <a:stretch>
            <a:fillRect l="1000" t="-45000" r="1000" b="-72000"/>
          </a:stretch>
        </a:blipFill>
        <a:ln w="13113">
          <a:solidFill>
            <a:srgbClr val="FFFFFF"/>
          </a:solidFill>
          <a:prstDash val="solid"/>
        </a:ln>
      </c:spPr>
    </c:plotArea>
    <c:legend>
      <c:legendPos val="r"/>
      <c:layout>
        <c:manualLayout>
          <c:xMode val="edge"/>
          <c:yMode val="edge"/>
          <c:x val="0"/>
          <c:y val="0.90551175616755109"/>
          <c:w val="0.99979782363085423"/>
          <c:h val="9.4488188976377951E-2"/>
        </c:manualLayout>
      </c:layout>
      <c:overlay val="0"/>
      <c:spPr>
        <a:solidFill>
          <a:srgbClr val="FFFFFF"/>
        </a:solidFill>
        <a:ln w="3279">
          <a:noFill/>
          <a:prstDash val="solid"/>
        </a:ln>
      </c:spPr>
      <c:txPr>
        <a:bodyPr/>
        <a:lstStyle/>
        <a:p>
          <a:pPr>
            <a:defRPr sz="1100" b="0" i="0" u="none" strike="noStrike" baseline="0">
              <a:solidFill>
                <a:srgbClr val="000000"/>
              </a:solidFill>
              <a:latin typeface="Arial"/>
              <a:ea typeface="Arial"/>
              <a:cs typeface="Arial"/>
            </a:defRPr>
          </a:pPr>
          <a:endParaRPr lang="ru-RU"/>
        </a:p>
      </c:txPr>
    </c:legend>
    <c:plotVisOnly val="1"/>
    <c:dispBlanksAs val="gap"/>
    <c:showDLblsOverMax val="0"/>
  </c:chart>
  <c:spPr>
    <a:noFill/>
    <a:ln w="39342" cap="flat" cmpd="dbl" algn="ctr">
      <a:solidFill>
        <a:srgbClr val="000000"/>
      </a:solidFill>
      <a:prstDash val="solid"/>
      <a:miter lim="800000"/>
      <a:headEnd type="none" w="med" len="med"/>
      <a:tailEnd type="none" w="med" len="med"/>
    </a:ln>
  </c:spPr>
  <c:txPr>
    <a:bodyPr/>
    <a:lstStyle/>
    <a:p>
      <a:pPr>
        <a:defRPr sz="1033" b="0" i="0" u="none" strike="noStrike" baseline="0">
          <a:solidFill>
            <a:srgbClr val="000000"/>
          </a:solidFill>
          <a:latin typeface="Arial"/>
          <a:ea typeface="Arial"/>
          <a:cs typeface="Arial"/>
        </a:defRPr>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453968593582709"/>
          <c:y val="0.12060301507537689"/>
          <c:w val="0.78978614499011857"/>
          <c:h val="0.5879396984924623"/>
        </c:manualLayout>
      </c:layout>
      <c:lineChart>
        <c:grouping val="standard"/>
        <c:varyColors val="0"/>
        <c:ser>
          <c:idx val="0"/>
          <c:order val="0"/>
          <c:tx>
            <c:strRef>
              <c:f>Sheet1!$A$2</c:f>
              <c:strCache>
                <c:ptCount val="1"/>
                <c:pt idx="0">
                  <c:v>прямые</c:v>
                </c:pt>
              </c:strCache>
            </c:strRef>
          </c:tx>
          <c:spPr>
            <a:ln w="34925">
              <a:solidFill>
                <a:srgbClr val="000080"/>
              </a:solidFill>
              <a:prstDash val="solid"/>
            </a:ln>
          </c:spPr>
          <c:marker>
            <c:symbol val="diamond"/>
            <c:size val="10"/>
            <c:spPr>
              <a:solidFill>
                <a:srgbClr val="000080"/>
              </a:solidFill>
              <a:ln>
                <a:solidFill>
                  <a:srgbClr val="000080"/>
                </a:solidFill>
                <a:prstDash val="solid"/>
              </a:ln>
            </c:spPr>
          </c:marker>
          <c:cat>
            <c:numRef>
              <c:f>Sheet1!$B$1:$N$1</c:f>
              <c:numCache>
                <c:formatCode>General</c:formatCode>
                <c:ptCount val="13"/>
                <c:pt idx="0">
                  <c:v>1995</c:v>
                </c:pt>
                <c:pt idx="1">
                  <c:v>2000</c:v>
                </c:pt>
                <c:pt idx="2">
                  <c:v>2001</c:v>
                </c:pt>
                <c:pt idx="3">
                  <c:v>2002</c:v>
                </c:pt>
                <c:pt idx="4">
                  <c:v>2003</c:v>
                </c:pt>
                <c:pt idx="5">
                  <c:v>2004</c:v>
                </c:pt>
                <c:pt idx="6">
                  <c:v>2005</c:v>
                </c:pt>
                <c:pt idx="7">
                  <c:v>2006</c:v>
                </c:pt>
                <c:pt idx="8">
                  <c:v>2007</c:v>
                </c:pt>
                <c:pt idx="9">
                  <c:v>2008</c:v>
                </c:pt>
                <c:pt idx="10">
                  <c:v>2009</c:v>
                </c:pt>
                <c:pt idx="11">
                  <c:v>2010</c:v>
                </c:pt>
                <c:pt idx="12">
                  <c:v>2011</c:v>
                </c:pt>
              </c:numCache>
            </c:numRef>
          </c:cat>
          <c:val>
            <c:numRef>
              <c:f>Sheet1!$B$2:$N$2</c:f>
              <c:numCache>
                <c:formatCode>General</c:formatCode>
                <c:ptCount val="13"/>
                <c:pt idx="0">
                  <c:v>266</c:v>
                </c:pt>
                <c:pt idx="1">
                  <c:v>0</c:v>
                </c:pt>
                <c:pt idx="2">
                  <c:v>42.9</c:v>
                </c:pt>
                <c:pt idx="3">
                  <c:v>2069.3000000000002</c:v>
                </c:pt>
                <c:pt idx="4">
                  <c:v>0</c:v>
                </c:pt>
                <c:pt idx="5">
                  <c:v>0</c:v>
                </c:pt>
                <c:pt idx="6">
                  <c:v>0</c:v>
                </c:pt>
                <c:pt idx="7">
                  <c:v>30690.400000000001</c:v>
                </c:pt>
                <c:pt idx="8">
                  <c:v>12496.9</c:v>
                </c:pt>
                <c:pt idx="9">
                  <c:v>17342</c:v>
                </c:pt>
                <c:pt idx="10">
                  <c:v>7682.2</c:v>
                </c:pt>
                <c:pt idx="11">
                  <c:v>44478.3</c:v>
                </c:pt>
                <c:pt idx="12">
                  <c:v>29137.1</c:v>
                </c:pt>
              </c:numCache>
            </c:numRef>
          </c:val>
          <c:smooth val="0"/>
        </c:ser>
        <c:ser>
          <c:idx val="1"/>
          <c:order val="1"/>
          <c:tx>
            <c:strRef>
              <c:f>Sheet1!$A$3</c:f>
              <c:strCache>
                <c:ptCount val="1"/>
                <c:pt idx="0">
                  <c:v>портфельные</c:v>
                </c:pt>
              </c:strCache>
            </c:strRef>
          </c:tx>
          <c:spPr>
            <a:ln w="34925">
              <a:solidFill>
                <a:srgbClr val="FF00FF"/>
              </a:solidFill>
              <a:prstDash val="solid"/>
            </a:ln>
          </c:spPr>
          <c:marker>
            <c:symbol val="square"/>
            <c:size val="10"/>
            <c:spPr>
              <a:solidFill>
                <a:srgbClr val="FF00FF"/>
              </a:solidFill>
              <a:ln>
                <a:solidFill>
                  <a:srgbClr val="FF00FF"/>
                </a:solidFill>
                <a:prstDash val="solid"/>
              </a:ln>
            </c:spPr>
          </c:marker>
          <c:cat>
            <c:numRef>
              <c:f>Sheet1!$B$1:$N$1</c:f>
              <c:numCache>
                <c:formatCode>General</c:formatCode>
                <c:ptCount val="13"/>
                <c:pt idx="0">
                  <c:v>1995</c:v>
                </c:pt>
                <c:pt idx="1">
                  <c:v>2000</c:v>
                </c:pt>
                <c:pt idx="2">
                  <c:v>2001</c:v>
                </c:pt>
                <c:pt idx="3">
                  <c:v>2002</c:v>
                </c:pt>
                <c:pt idx="4">
                  <c:v>2003</c:v>
                </c:pt>
                <c:pt idx="5">
                  <c:v>2004</c:v>
                </c:pt>
                <c:pt idx="6">
                  <c:v>2005</c:v>
                </c:pt>
                <c:pt idx="7">
                  <c:v>2006</c:v>
                </c:pt>
                <c:pt idx="8">
                  <c:v>2007</c:v>
                </c:pt>
                <c:pt idx="9">
                  <c:v>2008</c:v>
                </c:pt>
                <c:pt idx="10">
                  <c:v>2009</c:v>
                </c:pt>
                <c:pt idx="11">
                  <c:v>2010</c:v>
                </c:pt>
                <c:pt idx="12">
                  <c:v>2011</c:v>
                </c:pt>
              </c:numCache>
            </c:numRef>
          </c:cat>
          <c:val>
            <c:numRef>
              <c:f>Sheet1!$B$3:$N$3</c:f>
              <c:numCache>
                <c:formatCode>General</c:formatCode>
                <c:ptCount val="13"/>
                <c:pt idx="0">
                  <c:v>0</c:v>
                </c:pt>
                <c:pt idx="1">
                  <c:v>0</c:v>
                </c:pt>
                <c:pt idx="2">
                  <c:v>0</c:v>
                </c:pt>
                <c:pt idx="3">
                  <c:v>0</c:v>
                </c:pt>
                <c:pt idx="4">
                  <c:v>0.1</c:v>
                </c:pt>
                <c:pt idx="5">
                  <c:v>0</c:v>
                </c:pt>
                <c:pt idx="6">
                  <c:v>212.5</c:v>
                </c:pt>
                <c:pt idx="7">
                  <c:v>12160.8</c:v>
                </c:pt>
                <c:pt idx="8">
                  <c:v>349.6</c:v>
                </c:pt>
                <c:pt idx="9">
                  <c:v>0</c:v>
                </c:pt>
                <c:pt idx="10">
                  <c:v>0</c:v>
                </c:pt>
                <c:pt idx="11">
                  <c:v>9881.4</c:v>
                </c:pt>
                <c:pt idx="12">
                  <c:v>0</c:v>
                </c:pt>
              </c:numCache>
            </c:numRef>
          </c:val>
          <c:smooth val="0"/>
        </c:ser>
        <c:dLbls>
          <c:showLegendKey val="0"/>
          <c:showVal val="0"/>
          <c:showCatName val="0"/>
          <c:showSerName val="0"/>
          <c:showPercent val="0"/>
          <c:showBubbleSize val="0"/>
        </c:dLbls>
        <c:marker val="1"/>
        <c:smooth val="0"/>
        <c:axId val="416184192"/>
        <c:axId val="416186368"/>
      </c:lineChart>
      <c:lineChart>
        <c:grouping val="standard"/>
        <c:varyColors val="0"/>
        <c:ser>
          <c:idx val="2"/>
          <c:order val="2"/>
          <c:tx>
            <c:strRef>
              <c:f>Sheet1!$A$4</c:f>
              <c:strCache>
                <c:ptCount val="1"/>
                <c:pt idx="0">
                  <c:v>прочие</c:v>
                </c:pt>
              </c:strCache>
            </c:strRef>
          </c:tx>
          <c:spPr>
            <a:ln w="34925">
              <a:solidFill>
                <a:srgbClr val="00FF00"/>
              </a:solidFill>
              <a:prstDash val="solid"/>
            </a:ln>
          </c:spPr>
          <c:marker>
            <c:symbol val="triangle"/>
            <c:size val="10"/>
            <c:spPr>
              <a:solidFill>
                <a:srgbClr val="00F66F"/>
              </a:solidFill>
              <a:ln>
                <a:solidFill>
                  <a:srgbClr val="00FF00"/>
                </a:solidFill>
                <a:prstDash val="solid"/>
              </a:ln>
            </c:spPr>
          </c:marker>
          <c:cat>
            <c:numRef>
              <c:f>Sheet1!$B$1:$N$1</c:f>
              <c:numCache>
                <c:formatCode>General</c:formatCode>
                <c:ptCount val="13"/>
                <c:pt idx="0">
                  <c:v>1995</c:v>
                </c:pt>
                <c:pt idx="1">
                  <c:v>2000</c:v>
                </c:pt>
                <c:pt idx="2">
                  <c:v>2001</c:v>
                </c:pt>
                <c:pt idx="3">
                  <c:v>2002</c:v>
                </c:pt>
                <c:pt idx="4">
                  <c:v>2003</c:v>
                </c:pt>
                <c:pt idx="5">
                  <c:v>2004</c:v>
                </c:pt>
                <c:pt idx="6">
                  <c:v>2005</c:v>
                </c:pt>
                <c:pt idx="7">
                  <c:v>2006</c:v>
                </c:pt>
                <c:pt idx="8">
                  <c:v>2007</c:v>
                </c:pt>
                <c:pt idx="9">
                  <c:v>2008</c:v>
                </c:pt>
                <c:pt idx="10">
                  <c:v>2009</c:v>
                </c:pt>
                <c:pt idx="11">
                  <c:v>2010</c:v>
                </c:pt>
                <c:pt idx="12">
                  <c:v>2011</c:v>
                </c:pt>
              </c:numCache>
            </c:numRef>
          </c:cat>
          <c:val>
            <c:numRef>
              <c:f>Sheet1!$B$4:$N$4</c:f>
              <c:numCache>
                <c:formatCode>General</c:formatCode>
                <c:ptCount val="13"/>
                <c:pt idx="0">
                  <c:v>0</c:v>
                </c:pt>
                <c:pt idx="1">
                  <c:v>1533</c:v>
                </c:pt>
                <c:pt idx="2">
                  <c:v>2124</c:v>
                </c:pt>
                <c:pt idx="3">
                  <c:v>15005</c:v>
                </c:pt>
                <c:pt idx="4">
                  <c:v>23480.1</c:v>
                </c:pt>
                <c:pt idx="5">
                  <c:v>47953</c:v>
                </c:pt>
                <c:pt idx="6">
                  <c:v>0</c:v>
                </c:pt>
                <c:pt idx="7">
                  <c:v>40100</c:v>
                </c:pt>
                <c:pt idx="8">
                  <c:v>71200</c:v>
                </c:pt>
                <c:pt idx="9">
                  <c:v>188750.6</c:v>
                </c:pt>
                <c:pt idx="10">
                  <c:v>19437</c:v>
                </c:pt>
                <c:pt idx="11">
                  <c:v>48460.800000000003</c:v>
                </c:pt>
                <c:pt idx="12">
                  <c:v>38364.199999999997</c:v>
                </c:pt>
              </c:numCache>
            </c:numRef>
          </c:val>
          <c:smooth val="0"/>
        </c:ser>
        <c:dLbls>
          <c:showLegendKey val="0"/>
          <c:showVal val="0"/>
          <c:showCatName val="0"/>
          <c:showSerName val="0"/>
          <c:showPercent val="0"/>
          <c:showBubbleSize val="0"/>
        </c:dLbls>
        <c:marker val="1"/>
        <c:smooth val="0"/>
        <c:axId val="416190464"/>
        <c:axId val="416188288"/>
      </c:lineChart>
      <c:catAx>
        <c:axId val="416184192"/>
        <c:scaling>
          <c:orientation val="minMax"/>
        </c:scaling>
        <c:delete val="0"/>
        <c:axPos val="b"/>
        <c:numFmt formatCode="General" sourceLinked="1"/>
        <c:majorTickMark val="out"/>
        <c:minorTickMark val="none"/>
        <c:tickLblPos val="nextTo"/>
        <c:spPr>
          <a:ln w="3320">
            <a:solidFill>
              <a:srgbClr val="000000"/>
            </a:solidFill>
            <a:prstDash val="solid"/>
          </a:ln>
        </c:spPr>
        <c:txPr>
          <a:bodyPr rot="0" vert="horz"/>
          <a:lstStyle/>
          <a:p>
            <a:pPr>
              <a:defRPr sz="1044" b="0" i="0" u="none" strike="noStrike" baseline="0">
                <a:solidFill>
                  <a:srgbClr val="000000"/>
                </a:solidFill>
                <a:latin typeface="Arial"/>
                <a:ea typeface="Arial"/>
                <a:cs typeface="Arial"/>
              </a:defRPr>
            </a:pPr>
            <a:endParaRPr lang="ru-RU"/>
          </a:p>
        </c:txPr>
        <c:crossAx val="416186368"/>
        <c:crosses val="autoZero"/>
        <c:auto val="1"/>
        <c:lblAlgn val="ctr"/>
        <c:lblOffset val="100"/>
        <c:tickLblSkip val="1"/>
        <c:tickMarkSkip val="1"/>
        <c:noMultiLvlLbl val="0"/>
      </c:catAx>
      <c:valAx>
        <c:axId val="416186368"/>
        <c:scaling>
          <c:orientation val="minMax"/>
        </c:scaling>
        <c:delete val="0"/>
        <c:axPos val="l"/>
        <c:majorGridlines>
          <c:spPr>
            <a:ln w="3320">
              <a:solidFill>
                <a:srgbClr val="000000"/>
              </a:solidFill>
              <a:prstDash val="solid"/>
            </a:ln>
          </c:spPr>
        </c:majorGridlines>
        <c:title>
          <c:tx>
            <c:rich>
              <a:bodyPr rot="-5400000" vert="horz"/>
              <a:lstStyle/>
              <a:p>
                <a:pPr>
                  <a:defRPr sz="1100" baseline="0">
                    <a:latin typeface="Arial" pitchFamily="34" charset="0"/>
                  </a:defRPr>
                </a:pPr>
                <a:r>
                  <a:rPr lang="ru-RU" sz="1100" baseline="0">
                    <a:latin typeface="Arial" pitchFamily="34" charset="0"/>
                  </a:rPr>
                  <a:t>Прямые и портфельные</a:t>
                </a:r>
              </a:p>
            </c:rich>
          </c:tx>
          <c:layout>
            <c:manualLayout>
              <c:xMode val="edge"/>
              <c:yMode val="edge"/>
              <c:x val="2.1140471273817154E-2"/>
              <c:y val="5.9551222240917114E-2"/>
            </c:manualLayout>
          </c:layout>
          <c:overlay val="0"/>
        </c:title>
        <c:numFmt formatCode="General" sourceLinked="1"/>
        <c:majorTickMark val="out"/>
        <c:minorTickMark val="none"/>
        <c:tickLblPos val="nextTo"/>
        <c:spPr>
          <a:ln w="3320">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416184192"/>
        <c:crosses val="autoZero"/>
        <c:crossBetween val="between"/>
        <c:majorUnit val="10000"/>
      </c:valAx>
      <c:valAx>
        <c:axId val="416188288"/>
        <c:scaling>
          <c:orientation val="minMax"/>
        </c:scaling>
        <c:delete val="0"/>
        <c:axPos val="r"/>
        <c:title>
          <c:tx>
            <c:rich>
              <a:bodyPr rot="-5400000" vert="horz"/>
              <a:lstStyle/>
              <a:p>
                <a:pPr>
                  <a:defRPr baseline="0">
                    <a:latin typeface="Arial" pitchFamily="34" charset="0"/>
                  </a:defRPr>
                </a:pPr>
                <a:r>
                  <a:rPr lang="ru-RU" sz="1100" baseline="0">
                    <a:latin typeface="Arial" pitchFamily="34" charset="0"/>
                  </a:rPr>
                  <a:t>Прочие</a:t>
                </a:r>
              </a:p>
            </c:rich>
          </c:tx>
          <c:overlay val="0"/>
        </c:title>
        <c:numFmt formatCode="General" sourceLinked="1"/>
        <c:majorTickMark val="out"/>
        <c:minorTickMark val="none"/>
        <c:tickLblPos val="nextTo"/>
        <c:txPr>
          <a:bodyPr/>
          <a:lstStyle/>
          <a:p>
            <a:pPr>
              <a:defRPr sz="1100" b="0" i="0" baseline="0"/>
            </a:pPr>
            <a:endParaRPr lang="ru-RU"/>
          </a:p>
        </c:txPr>
        <c:crossAx val="416190464"/>
        <c:crosses val="max"/>
        <c:crossBetween val="between"/>
        <c:majorUnit val="40000"/>
      </c:valAx>
      <c:catAx>
        <c:axId val="416190464"/>
        <c:scaling>
          <c:orientation val="minMax"/>
        </c:scaling>
        <c:delete val="1"/>
        <c:axPos val="b"/>
        <c:numFmt formatCode="General" sourceLinked="1"/>
        <c:majorTickMark val="out"/>
        <c:minorTickMark val="none"/>
        <c:tickLblPos val="nextTo"/>
        <c:crossAx val="416188288"/>
        <c:crosses val="autoZero"/>
        <c:auto val="1"/>
        <c:lblAlgn val="ctr"/>
        <c:lblOffset val="100"/>
        <c:noMultiLvlLbl val="0"/>
      </c:catAx>
      <c:spPr>
        <a:gradFill>
          <a:gsLst>
            <a:gs pos="50000">
              <a:srgbClr val="C0504D">
                <a:lumMod val="40000"/>
                <a:lumOff val="60000"/>
                <a:alpha val="50000"/>
              </a:srgbClr>
            </a:gs>
            <a:gs pos="0">
              <a:srgbClr val="E6D78A">
                <a:alpha val="50000"/>
              </a:srgbClr>
            </a:gs>
            <a:gs pos="30000">
              <a:srgbClr val="C7AC4C">
                <a:alpha val="50000"/>
              </a:srgbClr>
            </a:gs>
            <a:gs pos="45000">
              <a:srgbClr val="E6D78A">
                <a:alpha val="50000"/>
              </a:srgbClr>
            </a:gs>
            <a:gs pos="77000">
              <a:srgbClr val="C7AC4C">
                <a:alpha val="50000"/>
              </a:srgbClr>
            </a:gs>
            <a:gs pos="100000">
              <a:srgbClr val="E6DCAC">
                <a:alpha val="50000"/>
              </a:srgbClr>
            </a:gs>
          </a:gsLst>
          <a:path path="circle">
            <a:fillToRect l="100000" t="100000"/>
          </a:path>
        </a:gradFill>
      </c:spPr>
    </c:plotArea>
    <c:legend>
      <c:legendPos val="r"/>
      <c:layout>
        <c:manualLayout>
          <c:xMode val="edge"/>
          <c:yMode val="edge"/>
          <c:x val="9.6089385474860345E-2"/>
          <c:y val="0.8844221105527581"/>
          <c:w val="0.85251396648044697"/>
          <c:h val="0.12060301507537689"/>
        </c:manualLayout>
      </c:layout>
      <c:overlay val="0"/>
      <c:spPr>
        <a:noFill/>
        <a:ln w="3320">
          <a:noFill/>
          <a:prstDash val="solid"/>
        </a:ln>
      </c:spPr>
      <c:txPr>
        <a:bodyPr/>
        <a:lstStyle/>
        <a:p>
          <a:pPr>
            <a:defRPr sz="1100" b="0" i="0" u="none" strike="noStrike" baseline="0">
              <a:solidFill>
                <a:srgbClr val="000000"/>
              </a:solidFill>
              <a:latin typeface="Arial"/>
              <a:ea typeface="Arial"/>
              <a:cs typeface="Arial"/>
            </a:defRPr>
          </a:pPr>
          <a:endParaRPr lang="ru-RU"/>
        </a:p>
      </c:txPr>
    </c:legend>
    <c:plotVisOnly val="1"/>
    <c:dispBlanksAs val="gap"/>
    <c:showDLblsOverMax val="0"/>
  </c:chart>
  <c:spPr>
    <a:noFill/>
    <a:ln w="39791" cap="flat" cmpd="dbl" algn="ctr">
      <a:solidFill>
        <a:srgbClr val="000000"/>
      </a:solidFill>
      <a:prstDash val="solid"/>
      <a:miter lim="800000"/>
      <a:headEnd type="none" w="med" len="med"/>
      <a:tailEnd type="none" w="med" len="med"/>
    </a:ln>
  </c:spPr>
  <c:txPr>
    <a:bodyPr/>
    <a:lstStyle/>
    <a:p>
      <a:pPr>
        <a:defRPr sz="1044"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Вся промышленность</c:v>
                </c:pt>
              </c:strCache>
            </c:strRef>
          </c:tx>
          <c:spPr>
            <a:ln>
              <a:solidFill>
                <a:schemeClr val="tx1"/>
              </a:solidFill>
            </a:ln>
            <a:effectLst>
              <a:innerShdw blurRad="114300">
                <a:prstClr val="black"/>
              </a:innerShdw>
            </a:effectLst>
            <a:scene3d>
              <a:camera prst="orthographicFront"/>
              <a:lightRig rig="threePt" dir="t"/>
            </a:scene3d>
            <a:sp3d/>
          </c:spPr>
          <c:invertIfNegative val="0"/>
          <c:cat>
            <c:numRef>
              <c:f>Лист1!$A$2:$A$11</c:f>
              <c:numCache>
                <c:formatCode>General</c:formatCode>
                <c:ptCount val="10"/>
                <c:pt idx="0">
                  <c:v>1992</c:v>
                </c:pt>
                <c:pt idx="1">
                  <c:v>1995</c:v>
                </c:pt>
                <c:pt idx="2">
                  <c:v>2000</c:v>
                </c:pt>
                <c:pt idx="3">
                  <c:v>2005</c:v>
                </c:pt>
                <c:pt idx="4">
                  <c:v>2006</c:v>
                </c:pt>
                <c:pt idx="5">
                  <c:v>2007</c:v>
                </c:pt>
                <c:pt idx="6">
                  <c:v>2008</c:v>
                </c:pt>
                <c:pt idx="7">
                  <c:v>2009</c:v>
                </c:pt>
                <c:pt idx="8">
                  <c:v>2010</c:v>
                </c:pt>
                <c:pt idx="9">
                  <c:v>2011</c:v>
                </c:pt>
              </c:numCache>
            </c:numRef>
          </c:cat>
          <c:val>
            <c:numRef>
              <c:f>Лист1!$B$2:$B$11</c:f>
              <c:numCache>
                <c:formatCode>General</c:formatCode>
                <c:ptCount val="10"/>
                <c:pt idx="0">
                  <c:v>91.5</c:v>
                </c:pt>
                <c:pt idx="1">
                  <c:v>80.7</c:v>
                </c:pt>
                <c:pt idx="2">
                  <c:v>97.4</c:v>
                </c:pt>
                <c:pt idx="3">
                  <c:v>109.8</c:v>
                </c:pt>
                <c:pt idx="4">
                  <c:v>105.5</c:v>
                </c:pt>
                <c:pt idx="5">
                  <c:v>108.5</c:v>
                </c:pt>
                <c:pt idx="6">
                  <c:v>100.8</c:v>
                </c:pt>
                <c:pt idx="7">
                  <c:v>75.2</c:v>
                </c:pt>
                <c:pt idx="8">
                  <c:v>115.8</c:v>
                </c:pt>
                <c:pt idx="9">
                  <c:v>109.6</c:v>
                </c:pt>
              </c:numCache>
            </c:numRef>
          </c:val>
        </c:ser>
        <c:dLbls>
          <c:showLegendKey val="0"/>
          <c:showVal val="0"/>
          <c:showCatName val="0"/>
          <c:showSerName val="0"/>
          <c:showPercent val="0"/>
          <c:showBubbleSize val="0"/>
        </c:dLbls>
        <c:gapWidth val="74"/>
        <c:axId val="336104832"/>
        <c:axId val="336307712"/>
      </c:barChart>
      <c:lineChart>
        <c:grouping val="standard"/>
        <c:varyColors val="0"/>
        <c:ser>
          <c:idx val="1"/>
          <c:order val="1"/>
          <c:tx>
            <c:strRef>
              <c:f>Лист1!$C$1</c:f>
              <c:strCache>
                <c:ptCount val="1"/>
                <c:pt idx="0">
                  <c:v>Добыча полезных ископаемых</c:v>
                </c:pt>
              </c:strCache>
            </c:strRef>
          </c:tx>
          <c:spPr>
            <a:ln>
              <a:solidFill>
                <a:srgbClr val="C00000"/>
              </a:solidFill>
            </a:ln>
          </c:spPr>
          <c:marker>
            <c:symbol val="square"/>
            <c:size val="9"/>
            <c:spPr>
              <a:solidFill>
                <a:srgbClr val="C00000"/>
              </a:solidFill>
              <a:ln>
                <a:solidFill>
                  <a:srgbClr val="C00000"/>
                </a:solidFill>
              </a:ln>
            </c:spPr>
          </c:marker>
          <c:cat>
            <c:numRef>
              <c:f>Лист1!$A$2:$A$11</c:f>
              <c:numCache>
                <c:formatCode>General</c:formatCode>
                <c:ptCount val="10"/>
                <c:pt idx="0">
                  <c:v>1992</c:v>
                </c:pt>
                <c:pt idx="1">
                  <c:v>1995</c:v>
                </c:pt>
                <c:pt idx="2">
                  <c:v>2000</c:v>
                </c:pt>
                <c:pt idx="3">
                  <c:v>2005</c:v>
                </c:pt>
                <c:pt idx="4">
                  <c:v>2006</c:v>
                </c:pt>
                <c:pt idx="5">
                  <c:v>2007</c:v>
                </c:pt>
                <c:pt idx="6">
                  <c:v>2008</c:v>
                </c:pt>
                <c:pt idx="7">
                  <c:v>2009</c:v>
                </c:pt>
                <c:pt idx="8">
                  <c:v>2010</c:v>
                </c:pt>
                <c:pt idx="9">
                  <c:v>2011</c:v>
                </c:pt>
              </c:numCache>
            </c:numRef>
          </c:cat>
          <c:val>
            <c:numRef>
              <c:f>Лист1!$C$2:$C$11</c:f>
              <c:numCache>
                <c:formatCode>General</c:formatCode>
                <c:ptCount val="10"/>
                <c:pt idx="0">
                  <c:v>74.8</c:v>
                </c:pt>
                <c:pt idx="1">
                  <c:v>118.2</c:v>
                </c:pt>
                <c:pt idx="2">
                  <c:v>119</c:v>
                </c:pt>
                <c:pt idx="3">
                  <c:v>128.1</c:v>
                </c:pt>
                <c:pt idx="4">
                  <c:v>91.3</c:v>
                </c:pt>
                <c:pt idx="5">
                  <c:v>93.4</c:v>
                </c:pt>
                <c:pt idx="6">
                  <c:v>92.9</c:v>
                </c:pt>
                <c:pt idx="7">
                  <c:v>92.5</c:v>
                </c:pt>
                <c:pt idx="8">
                  <c:v>105.6</c:v>
                </c:pt>
                <c:pt idx="9">
                  <c:v>104.9</c:v>
                </c:pt>
              </c:numCache>
            </c:numRef>
          </c:val>
          <c:smooth val="0"/>
        </c:ser>
        <c:ser>
          <c:idx val="2"/>
          <c:order val="2"/>
          <c:tx>
            <c:strRef>
              <c:f>Лист1!$D$1</c:f>
              <c:strCache>
                <c:ptCount val="1"/>
                <c:pt idx="0">
                  <c:v>Обрабатывающие производства</c:v>
                </c:pt>
              </c:strCache>
            </c:strRef>
          </c:tx>
          <c:spPr>
            <a:ln>
              <a:solidFill>
                <a:srgbClr val="FFFF00"/>
              </a:solidFill>
            </a:ln>
          </c:spPr>
          <c:marker>
            <c:symbol val="triangle"/>
            <c:size val="9"/>
            <c:spPr>
              <a:solidFill>
                <a:srgbClr val="FFFF00"/>
              </a:solidFill>
              <a:ln>
                <a:solidFill>
                  <a:srgbClr val="FFFF00"/>
                </a:solidFill>
              </a:ln>
            </c:spPr>
          </c:marker>
          <c:cat>
            <c:numRef>
              <c:f>Лист1!$A$2:$A$11</c:f>
              <c:numCache>
                <c:formatCode>General</c:formatCode>
                <c:ptCount val="10"/>
                <c:pt idx="0">
                  <c:v>1992</c:v>
                </c:pt>
                <c:pt idx="1">
                  <c:v>1995</c:v>
                </c:pt>
                <c:pt idx="2">
                  <c:v>2000</c:v>
                </c:pt>
                <c:pt idx="3">
                  <c:v>2005</c:v>
                </c:pt>
                <c:pt idx="4">
                  <c:v>2006</c:v>
                </c:pt>
                <c:pt idx="5">
                  <c:v>2007</c:v>
                </c:pt>
                <c:pt idx="6">
                  <c:v>2008</c:v>
                </c:pt>
                <c:pt idx="7">
                  <c:v>2009</c:v>
                </c:pt>
                <c:pt idx="8">
                  <c:v>2010</c:v>
                </c:pt>
                <c:pt idx="9">
                  <c:v>2011</c:v>
                </c:pt>
              </c:numCache>
            </c:numRef>
          </c:cat>
          <c:val>
            <c:numRef>
              <c:f>Лист1!$D$2:$D$11</c:f>
              <c:numCache>
                <c:formatCode>General</c:formatCode>
                <c:ptCount val="10"/>
                <c:pt idx="0">
                  <c:v>91.1</c:v>
                </c:pt>
                <c:pt idx="1">
                  <c:v>79.8</c:v>
                </c:pt>
                <c:pt idx="2">
                  <c:v>102.6</c:v>
                </c:pt>
                <c:pt idx="3">
                  <c:v>103.1</c:v>
                </c:pt>
                <c:pt idx="4">
                  <c:v>113</c:v>
                </c:pt>
                <c:pt idx="5">
                  <c:v>113.6</c:v>
                </c:pt>
                <c:pt idx="6">
                  <c:v>103.4</c:v>
                </c:pt>
                <c:pt idx="7">
                  <c:v>68</c:v>
                </c:pt>
                <c:pt idx="8">
                  <c:v>120.2</c:v>
                </c:pt>
                <c:pt idx="9">
                  <c:v>111.3</c:v>
                </c:pt>
              </c:numCache>
            </c:numRef>
          </c:val>
          <c:smooth val="0"/>
        </c:ser>
        <c:ser>
          <c:idx val="3"/>
          <c:order val="3"/>
          <c:tx>
            <c:strRef>
              <c:f>Лист1!$E$1</c:f>
              <c:strCache>
                <c:ptCount val="1"/>
                <c:pt idx="0">
                  <c:v>Производство и распределение электроэнергии, газа и воды</c:v>
                </c:pt>
              </c:strCache>
            </c:strRef>
          </c:tx>
          <c:spPr>
            <a:ln>
              <a:solidFill>
                <a:srgbClr val="7030A0"/>
              </a:solidFill>
            </a:ln>
          </c:spPr>
          <c:marker>
            <c:symbol val="circle"/>
            <c:size val="9"/>
            <c:spPr>
              <a:solidFill>
                <a:srgbClr val="7030A0"/>
              </a:solidFill>
              <a:ln>
                <a:solidFill>
                  <a:srgbClr val="7030A0"/>
                </a:solidFill>
              </a:ln>
            </c:spPr>
          </c:marker>
          <c:cat>
            <c:numRef>
              <c:f>Лист1!$A$2:$A$11</c:f>
              <c:numCache>
                <c:formatCode>General</c:formatCode>
                <c:ptCount val="10"/>
                <c:pt idx="0">
                  <c:v>1992</c:v>
                </c:pt>
                <c:pt idx="1">
                  <c:v>1995</c:v>
                </c:pt>
                <c:pt idx="2">
                  <c:v>2000</c:v>
                </c:pt>
                <c:pt idx="3">
                  <c:v>2005</c:v>
                </c:pt>
                <c:pt idx="4">
                  <c:v>2006</c:v>
                </c:pt>
                <c:pt idx="5">
                  <c:v>2007</c:v>
                </c:pt>
                <c:pt idx="6">
                  <c:v>2008</c:v>
                </c:pt>
                <c:pt idx="7">
                  <c:v>2009</c:v>
                </c:pt>
                <c:pt idx="8">
                  <c:v>2010</c:v>
                </c:pt>
                <c:pt idx="9">
                  <c:v>2011</c:v>
                </c:pt>
              </c:numCache>
            </c:numRef>
          </c:cat>
          <c:val>
            <c:numRef>
              <c:f>Лист1!$E$2:$E$11</c:f>
              <c:numCache>
                <c:formatCode>General</c:formatCode>
                <c:ptCount val="10"/>
                <c:pt idx="0">
                  <c:v>99.1</c:v>
                </c:pt>
                <c:pt idx="1">
                  <c:v>83.5</c:v>
                </c:pt>
                <c:pt idx="2">
                  <c:v>83.5</c:v>
                </c:pt>
                <c:pt idx="3">
                  <c:v>125.4</c:v>
                </c:pt>
                <c:pt idx="4">
                  <c:v>91.6</c:v>
                </c:pt>
                <c:pt idx="5">
                  <c:v>100.1</c:v>
                </c:pt>
                <c:pt idx="6">
                  <c:v>94.2</c:v>
                </c:pt>
                <c:pt idx="7">
                  <c:v>99.3</c:v>
                </c:pt>
                <c:pt idx="8">
                  <c:v>101.4</c:v>
                </c:pt>
                <c:pt idx="9">
                  <c:v>103.2</c:v>
                </c:pt>
              </c:numCache>
            </c:numRef>
          </c:val>
          <c:smooth val="0"/>
        </c:ser>
        <c:dLbls>
          <c:showLegendKey val="0"/>
          <c:showVal val="0"/>
          <c:showCatName val="0"/>
          <c:showSerName val="0"/>
          <c:showPercent val="0"/>
          <c:showBubbleSize val="0"/>
        </c:dLbls>
        <c:marker val="1"/>
        <c:smooth val="0"/>
        <c:axId val="336104832"/>
        <c:axId val="336307712"/>
      </c:lineChart>
      <c:catAx>
        <c:axId val="336104832"/>
        <c:scaling>
          <c:orientation val="minMax"/>
        </c:scaling>
        <c:delete val="0"/>
        <c:axPos val="b"/>
        <c:numFmt formatCode="General" sourceLinked="1"/>
        <c:majorTickMark val="out"/>
        <c:minorTickMark val="none"/>
        <c:tickLblPos val="nextTo"/>
        <c:crossAx val="336307712"/>
        <c:crosses val="autoZero"/>
        <c:auto val="1"/>
        <c:lblAlgn val="ctr"/>
        <c:lblOffset val="100"/>
        <c:noMultiLvlLbl val="0"/>
      </c:catAx>
      <c:valAx>
        <c:axId val="336307712"/>
        <c:scaling>
          <c:orientation val="minMax"/>
          <c:max val="130"/>
          <c:min val="70"/>
        </c:scaling>
        <c:delete val="0"/>
        <c:axPos val="l"/>
        <c:majorGridlines/>
        <c:numFmt formatCode="General" sourceLinked="1"/>
        <c:majorTickMark val="out"/>
        <c:minorTickMark val="none"/>
        <c:tickLblPos val="nextTo"/>
        <c:crossAx val="336104832"/>
        <c:crosses val="autoZero"/>
        <c:crossBetween val="between"/>
        <c:majorUnit val="10"/>
      </c:valAx>
      <c:spPr>
        <a:blipFill dpi="0" rotWithShape="1">
          <a:blip xmlns:r="http://schemas.openxmlformats.org/officeDocument/2006/relationships" r:embed="rId1">
            <a:alphaModFix amt="24000"/>
          </a:blip>
          <a:srcRect/>
          <a:tile tx="0" ty="0" sx="100000" sy="100000" flip="none" algn="tl"/>
        </a:blipFill>
      </c:spPr>
    </c:plotArea>
    <c:legend>
      <c:legendPos val="b"/>
      <c:layout>
        <c:manualLayout>
          <c:xMode val="edge"/>
          <c:yMode val="edge"/>
          <c:x val="1.9752500502144561E-2"/>
          <c:y val="0.84368669809009078"/>
          <c:w val="0.98024749949785539"/>
          <c:h val="0.11950526242430773"/>
        </c:manualLayout>
      </c:layout>
      <c:overlay val="0"/>
      <c:txPr>
        <a:bodyPr/>
        <a:lstStyle/>
        <a:p>
          <a:pPr>
            <a:defRPr sz="1100" baseline="0"/>
          </a:pPr>
          <a:endParaRPr lang="ru-RU"/>
        </a:p>
      </c:txPr>
    </c:legend>
    <c:plotVisOnly val="1"/>
    <c:dispBlanksAs val="gap"/>
    <c:showDLblsOverMax val="0"/>
  </c:chart>
  <c:spPr>
    <a:ln w="38100" cmpd="dbl">
      <a:solidFill>
        <a:srgbClr val="000000"/>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292808804217992E-2"/>
          <c:y val="5.6698555313814465E-2"/>
          <c:w val="0.88121990369181591"/>
          <c:h val="0.73237720787312965"/>
        </c:manualLayout>
      </c:layout>
      <c:lineChart>
        <c:grouping val="standard"/>
        <c:varyColors val="0"/>
        <c:ser>
          <c:idx val="0"/>
          <c:order val="0"/>
          <c:tx>
            <c:strRef>
              <c:f>Sheet1!$A$2</c:f>
              <c:strCache>
                <c:ptCount val="1"/>
                <c:pt idx="0">
                  <c:v>зерновые </c:v>
                </c:pt>
              </c:strCache>
            </c:strRef>
          </c:tx>
          <c:spPr>
            <a:ln w="34925">
              <a:solidFill>
                <a:srgbClr val="000080"/>
              </a:solidFill>
              <a:prstDash val="solid"/>
            </a:ln>
          </c:spPr>
          <c:marker>
            <c:symbol val="circle"/>
            <c:size val="6"/>
            <c:spPr>
              <a:solidFill>
                <a:srgbClr val="000080"/>
              </a:solidFill>
              <a:ln>
                <a:solidFill>
                  <a:srgbClr val="000080"/>
                </a:solidFill>
                <a:prstDash val="solid"/>
              </a:ln>
            </c:spPr>
          </c:marker>
          <c:dPt>
            <c:idx val="0"/>
            <c:bubble3D val="0"/>
            <c:spPr>
              <a:ln w="34925">
                <a:solidFill>
                  <a:srgbClr val="000080"/>
                </a:solidFill>
                <a:prstDash val="solid"/>
              </a:ln>
            </c:spPr>
          </c:dPt>
          <c:dLbls>
            <c:dLbl>
              <c:idx val="0"/>
              <c:layout>
                <c:manualLayout>
                  <c:x val="-3.5742369004217601E-2"/>
                  <c:y val="-6.7174205105239582E-2"/>
                </c:manualLayout>
              </c:layout>
              <c:showLegendKey val="0"/>
              <c:showVal val="1"/>
              <c:showCatName val="0"/>
              <c:showSerName val="0"/>
              <c:showPercent val="0"/>
              <c:showBubbleSize val="0"/>
            </c:dLbl>
            <c:dLbl>
              <c:idx val="1"/>
              <c:layout>
                <c:manualLayout>
                  <c:x val="-1.0007867193308423E-2"/>
                  <c:y val="-5.6482226941849803E-2"/>
                </c:manualLayout>
              </c:layout>
              <c:showLegendKey val="0"/>
              <c:showVal val="1"/>
              <c:showCatName val="0"/>
              <c:showSerName val="0"/>
              <c:showPercent val="0"/>
              <c:showBubbleSize val="0"/>
            </c:dLbl>
            <c:dLbl>
              <c:idx val="2"/>
              <c:layout>
                <c:manualLayout>
                  <c:x val="-5.7187490779752525E-3"/>
                  <c:y val="-4.7525819252095793E-2"/>
                </c:manualLayout>
              </c:layout>
              <c:showLegendKey val="0"/>
              <c:showVal val="1"/>
              <c:showCatName val="0"/>
              <c:showSerName val="0"/>
              <c:showPercent val="0"/>
              <c:showBubbleSize val="0"/>
            </c:dLbl>
            <c:dLbl>
              <c:idx val="3"/>
              <c:layout>
                <c:manualLayout>
                  <c:x val="-4.2891181153331846E-3"/>
                  <c:y val="-3.3672732369287202E-2"/>
                </c:manualLayout>
              </c:layout>
              <c:showLegendKey val="0"/>
              <c:showVal val="1"/>
              <c:showCatName val="0"/>
              <c:showSerName val="0"/>
              <c:showPercent val="0"/>
              <c:showBubbleSize val="0"/>
            </c:dLbl>
            <c:dLbl>
              <c:idx val="4"/>
              <c:layout>
                <c:manualLayout>
                  <c:x val="-2.8593895203374415E-3"/>
                  <c:y val="-5.3739364084191873E-2"/>
                </c:manualLayout>
              </c:layout>
              <c:showLegendKey val="0"/>
              <c:showVal val="1"/>
              <c:showCatName val="0"/>
              <c:showSerName val="0"/>
              <c:showPercent val="0"/>
              <c:showBubbleSize val="0"/>
            </c:dLbl>
            <c:dLbl>
              <c:idx val="5"/>
              <c:layout>
                <c:manualLayout>
                  <c:x val="-1.5731796501632683E-2"/>
                  <c:y val="-6.3852728530940733E-2"/>
                </c:manualLayout>
              </c:layout>
              <c:showLegendKey val="0"/>
              <c:showVal val="1"/>
              <c:showCatName val="0"/>
              <c:showSerName val="0"/>
              <c:showPercent val="0"/>
              <c:showBubbleSize val="0"/>
            </c:dLbl>
            <c:spPr>
              <a:solidFill>
                <a:srgbClr val="000080">
                  <a:alpha val="12000"/>
                </a:srgbClr>
              </a:solidFill>
            </c:spPr>
            <c:showLegendKey val="0"/>
            <c:showVal val="1"/>
            <c:showCatName val="0"/>
            <c:showSerName val="0"/>
            <c:showPercent val="0"/>
            <c:showBubbleSize val="0"/>
            <c:showLeaderLines val="0"/>
          </c:dLbls>
          <c:cat>
            <c:numRef>
              <c:f>Sheet1!$B$1:$H$1</c:f>
              <c:numCache>
                <c:formatCode>General</c:formatCode>
                <c:ptCount val="7"/>
                <c:pt idx="0">
                  <c:v>1945</c:v>
                </c:pt>
                <c:pt idx="1">
                  <c:v>1960</c:v>
                </c:pt>
                <c:pt idx="2">
                  <c:v>1970</c:v>
                </c:pt>
                <c:pt idx="3">
                  <c:v>1980</c:v>
                </c:pt>
                <c:pt idx="4">
                  <c:v>1990</c:v>
                </c:pt>
                <c:pt idx="5">
                  <c:v>2000</c:v>
                </c:pt>
                <c:pt idx="6">
                  <c:v>2011</c:v>
                </c:pt>
              </c:numCache>
            </c:numRef>
          </c:cat>
          <c:val>
            <c:numRef>
              <c:f>Sheet1!$B$2:$H$2</c:f>
              <c:numCache>
                <c:formatCode>0.0</c:formatCode>
                <c:ptCount val="7"/>
                <c:pt idx="0">
                  <c:v>781.5</c:v>
                </c:pt>
                <c:pt idx="1">
                  <c:v>1081.5</c:v>
                </c:pt>
                <c:pt idx="2">
                  <c:v>1123.0999999999999</c:v>
                </c:pt>
                <c:pt idx="3">
                  <c:v>1145.8</c:v>
                </c:pt>
                <c:pt idx="4">
                  <c:v>983.1</c:v>
                </c:pt>
                <c:pt idx="5">
                  <c:v>650.79999999999995</c:v>
                </c:pt>
                <c:pt idx="6">
                  <c:v>590.1</c:v>
                </c:pt>
              </c:numCache>
            </c:numRef>
          </c:val>
          <c:smooth val="0"/>
        </c:ser>
        <c:ser>
          <c:idx val="1"/>
          <c:order val="1"/>
          <c:tx>
            <c:strRef>
              <c:f>Sheet1!$A$3</c:f>
              <c:strCache>
                <c:ptCount val="1"/>
                <c:pt idx="0">
                  <c:v>кормовые культуры</c:v>
                </c:pt>
              </c:strCache>
            </c:strRef>
          </c:tx>
          <c:spPr>
            <a:ln w="34925">
              <a:solidFill>
                <a:srgbClr val="FF00FF"/>
              </a:solidFill>
              <a:prstDash val="solid"/>
            </a:ln>
          </c:spPr>
          <c:marker>
            <c:symbol val="square"/>
            <c:size val="6"/>
            <c:spPr>
              <a:solidFill>
                <a:srgbClr val="FF00FF"/>
              </a:solidFill>
              <a:ln>
                <a:solidFill>
                  <a:srgbClr val="FF00FF"/>
                </a:solidFill>
                <a:prstDash val="solid"/>
              </a:ln>
            </c:spPr>
          </c:marker>
          <c:dLbls>
            <c:dLbl>
              <c:idx val="1"/>
              <c:layout>
                <c:manualLayout>
                  <c:x val="-1.8590044903588041E-2"/>
                  <c:y val="-7.0943715662923082E-2"/>
                </c:manualLayout>
              </c:layout>
              <c:showLegendKey val="0"/>
              <c:showVal val="1"/>
              <c:showCatName val="0"/>
              <c:showSerName val="0"/>
              <c:showPercent val="0"/>
              <c:showBubbleSize val="0"/>
            </c:dLbl>
            <c:dLbl>
              <c:idx val="2"/>
              <c:layout>
                <c:manualLayout>
                  <c:x val="-2.5740001536050942E-2"/>
                  <c:y val="-7.6578997872982529E-2"/>
                </c:manualLayout>
              </c:layout>
              <c:showLegendKey val="0"/>
              <c:showVal val="1"/>
              <c:showCatName val="0"/>
              <c:showSerName val="0"/>
              <c:showPercent val="0"/>
              <c:showBubbleSize val="0"/>
            </c:dLbl>
            <c:dLbl>
              <c:idx val="3"/>
              <c:layout>
                <c:manualLayout>
                  <c:x val="-3.1461791184014043E-2"/>
                  <c:y val="-6.8201129365820706E-2"/>
                </c:manualLayout>
              </c:layout>
              <c:showLegendKey val="0"/>
              <c:showVal val="1"/>
              <c:showCatName val="0"/>
              <c:showSerName val="0"/>
              <c:showPercent val="0"/>
              <c:showBubbleSize val="0"/>
            </c:dLbl>
            <c:dLbl>
              <c:idx val="4"/>
              <c:layout>
                <c:manualLayout>
                  <c:x val="-2.5740451990863868E-2"/>
                  <c:y val="-6.284536161287009E-2"/>
                </c:manualLayout>
              </c:layout>
              <c:showLegendKey val="0"/>
              <c:showVal val="1"/>
              <c:showCatName val="0"/>
              <c:showSerName val="0"/>
              <c:showPercent val="0"/>
              <c:showBubbleSize val="0"/>
            </c:dLbl>
            <c:dLbl>
              <c:idx val="5"/>
              <c:layout>
                <c:manualLayout>
                  <c:x val="-2.8593745389876805E-3"/>
                  <c:y val="-3.5546514470646606E-2"/>
                </c:manualLayout>
              </c:layout>
              <c:showLegendKey val="0"/>
              <c:showVal val="1"/>
              <c:showCatName val="0"/>
              <c:showSerName val="0"/>
              <c:showPercent val="0"/>
              <c:showBubbleSize val="0"/>
            </c:dLbl>
            <c:dLbl>
              <c:idx val="6"/>
              <c:layout>
                <c:manualLayout>
                  <c:x val="-2.1452910467376563E-2"/>
                  <c:y val="-6.5737659357084893E-2"/>
                </c:manualLayout>
              </c:layout>
              <c:showLegendKey val="0"/>
              <c:showVal val="1"/>
              <c:showCatName val="0"/>
              <c:showSerName val="0"/>
              <c:showPercent val="0"/>
              <c:showBubbleSize val="0"/>
            </c:dLbl>
            <c:spPr>
              <a:solidFill>
                <a:srgbClr val="FF00FF">
                  <a:alpha val="23000"/>
                </a:srgbClr>
              </a:solidFill>
            </c:spPr>
            <c:showLegendKey val="0"/>
            <c:showVal val="1"/>
            <c:showCatName val="0"/>
            <c:showSerName val="0"/>
            <c:showPercent val="0"/>
            <c:showBubbleSize val="0"/>
            <c:showLeaderLines val="0"/>
          </c:dLbls>
          <c:cat>
            <c:numRef>
              <c:f>Sheet1!$B$1:$H$1</c:f>
              <c:numCache>
                <c:formatCode>General</c:formatCode>
                <c:ptCount val="7"/>
                <c:pt idx="0">
                  <c:v>1945</c:v>
                </c:pt>
                <c:pt idx="1">
                  <c:v>1960</c:v>
                </c:pt>
                <c:pt idx="2">
                  <c:v>1970</c:v>
                </c:pt>
                <c:pt idx="3">
                  <c:v>1980</c:v>
                </c:pt>
                <c:pt idx="4">
                  <c:v>1990</c:v>
                </c:pt>
                <c:pt idx="5">
                  <c:v>2000</c:v>
                </c:pt>
                <c:pt idx="6">
                  <c:v>2011</c:v>
                </c:pt>
              </c:numCache>
            </c:numRef>
          </c:cat>
          <c:val>
            <c:numRef>
              <c:f>Sheet1!$B$3:$H$3</c:f>
              <c:numCache>
                <c:formatCode>0.0</c:formatCode>
                <c:ptCount val="7"/>
                <c:pt idx="0">
                  <c:v>77.2</c:v>
                </c:pt>
                <c:pt idx="1">
                  <c:v>516.79999999999995</c:v>
                </c:pt>
                <c:pt idx="2">
                  <c:v>481.1</c:v>
                </c:pt>
                <c:pt idx="3">
                  <c:v>468.9</c:v>
                </c:pt>
                <c:pt idx="4">
                  <c:v>535</c:v>
                </c:pt>
                <c:pt idx="5">
                  <c:v>346.7</c:v>
                </c:pt>
                <c:pt idx="6">
                  <c:v>173.3</c:v>
                </c:pt>
              </c:numCache>
            </c:numRef>
          </c:val>
          <c:smooth val="0"/>
        </c:ser>
        <c:dLbls>
          <c:showLegendKey val="0"/>
          <c:showVal val="1"/>
          <c:showCatName val="0"/>
          <c:showSerName val="0"/>
          <c:showPercent val="0"/>
          <c:showBubbleSize val="0"/>
        </c:dLbls>
        <c:marker val="1"/>
        <c:smooth val="0"/>
        <c:axId val="336747136"/>
        <c:axId val="336757120"/>
      </c:lineChart>
      <c:lineChart>
        <c:grouping val="standard"/>
        <c:varyColors val="0"/>
        <c:ser>
          <c:idx val="2"/>
          <c:order val="2"/>
          <c:tx>
            <c:strRef>
              <c:f>Sheet1!$A$4</c:f>
              <c:strCache>
                <c:ptCount val="1"/>
                <c:pt idx="0">
                  <c:v>технические культуры</c:v>
                </c:pt>
              </c:strCache>
            </c:strRef>
          </c:tx>
          <c:spPr>
            <a:ln w="34925">
              <a:solidFill>
                <a:srgbClr val="FF0000"/>
              </a:solidFill>
              <a:prstDash val="solid"/>
            </a:ln>
          </c:spPr>
          <c:marker>
            <c:symbol val="triangle"/>
            <c:size val="6"/>
            <c:spPr>
              <a:solidFill>
                <a:srgbClr val="FF0000"/>
              </a:solidFill>
              <a:ln>
                <a:solidFill>
                  <a:srgbClr val="FF0000"/>
                </a:solidFill>
                <a:prstDash val="solid"/>
              </a:ln>
            </c:spPr>
          </c:marker>
          <c:dLbls>
            <c:dLbl>
              <c:idx val="0"/>
              <c:layout>
                <c:manualLayout>
                  <c:x val="-4.0036986844693118E-2"/>
                  <c:y val="-5.3160703293412936E-2"/>
                </c:manualLayout>
              </c:layout>
              <c:showLegendKey val="0"/>
              <c:showVal val="1"/>
              <c:showCatName val="0"/>
              <c:showSerName val="0"/>
              <c:showPercent val="0"/>
              <c:showBubbleSize val="0"/>
            </c:dLbl>
            <c:dLbl>
              <c:idx val="1"/>
              <c:layout>
                <c:manualLayout>
                  <c:x val="-3.0021124078454052E-2"/>
                  <c:y val="5.4038267201487113E-2"/>
                </c:manualLayout>
              </c:layout>
              <c:showLegendKey val="0"/>
              <c:showVal val="1"/>
              <c:showCatName val="0"/>
              <c:showSerName val="0"/>
              <c:showPercent val="0"/>
              <c:showBubbleSize val="0"/>
            </c:dLbl>
            <c:dLbl>
              <c:idx val="2"/>
              <c:layout>
                <c:manualLayout>
                  <c:x val="-4.2860775453456134E-3"/>
                  <c:y val="3.612505365323803E-2"/>
                </c:manualLayout>
              </c:layout>
              <c:showLegendKey val="0"/>
              <c:showVal val="1"/>
              <c:showCatName val="0"/>
              <c:showSerName val="0"/>
              <c:showPercent val="0"/>
              <c:showBubbleSize val="0"/>
            </c:dLbl>
            <c:dLbl>
              <c:idx val="3"/>
              <c:layout>
                <c:manualLayout>
                  <c:x val="-5.7168346450202114E-3"/>
                  <c:y val="-2.1234339027942802E-2"/>
                </c:manualLayout>
              </c:layout>
              <c:showLegendKey val="0"/>
              <c:showVal val="1"/>
              <c:showCatName val="0"/>
              <c:showSerName val="0"/>
              <c:showPercent val="0"/>
              <c:showBubbleSize val="0"/>
            </c:dLbl>
            <c:dLbl>
              <c:idx val="4"/>
              <c:layout>
                <c:manualLayout>
                  <c:x val="-5.7158211216910993E-3"/>
                  <c:y val="4.1181796680706095E-2"/>
                </c:manualLayout>
              </c:layout>
              <c:showLegendKey val="0"/>
              <c:showVal val="1"/>
              <c:showCatName val="0"/>
              <c:showSerName val="0"/>
              <c:showPercent val="0"/>
              <c:showBubbleSize val="0"/>
            </c:dLbl>
            <c:dLbl>
              <c:idx val="5"/>
              <c:layout>
                <c:manualLayout>
                  <c:x val="-3.8605779290204881E-2"/>
                  <c:y val="-5.0268803717940472E-2"/>
                </c:manualLayout>
              </c:layout>
              <c:showLegendKey val="0"/>
              <c:showVal val="1"/>
              <c:showCatName val="0"/>
              <c:showSerName val="0"/>
              <c:showPercent val="0"/>
              <c:showBubbleSize val="0"/>
            </c:dLbl>
            <c:spPr>
              <a:solidFill>
                <a:srgbClr val="FF0000">
                  <a:alpha val="15000"/>
                </a:srgbClr>
              </a:solidFill>
            </c:spPr>
            <c:showLegendKey val="0"/>
            <c:showVal val="1"/>
            <c:showCatName val="0"/>
            <c:showSerName val="0"/>
            <c:showPercent val="0"/>
            <c:showBubbleSize val="0"/>
            <c:showLeaderLines val="0"/>
          </c:dLbls>
          <c:cat>
            <c:numRef>
              <c:f>Sheet1!$B$1:$H$1</c:f>
              <c:numCache>
                <c:formatCode>General</c:formatCode>
                <c:ptCount val="7"/>
                <c:pt idx="0">
                  <c:v>1945</c:v>
                </c:pt>
                <c:pt idx="1">
                  <c:v>1960</c:v>
                </c:pt>
                <c:pt idx="2">
                  <c:v>1970</c:v>
                </c:pt>
                <c:pt idx="3">
                  <c:v>1980</c:v>
                </c:pt>
                <c:pt idx="4">
                  <c:v>1990</c:v>
                </c:pt>
                <c:pt idx="5">
                  <c:v>2000</c:v>
                </c:pt>
                <c:pt idx="6">
                  <c:v>2011</c:v>
                </c:pt>
              </c:numCache>
            </c:numRef>
          </c:cat>
          <c:val>
            <c:numRef>
              <c:f>Sheet1!$B$4:$H$4</c:f>
              <c:numCache>
                <c:formatCode>0.0</c:formatCode>
                <c:ptCount val="7"/>
                <c:pt idx="0">
                  <c:v>34.700000000000003</c:v>
                </c:pt>
                <c:pt idx="1">
                  <c:v>52.6</c:v>
                </c:pt>
                <c:pt idx="2">
                  <c:v>76.8</c:v>
                </c:pt>
                <c:pt idx="3">
                  <c:v>65.3</c:v>
                </c:pt>
                <c:pt idx="4">
                  <c:v>76.599999999999994</c:v>
                </c:pt>
                <c:pt idx="5">
                  <c:v>84.9</c:v>
                </c:pt>
                <c:pt idx="6">
                  <c:v>197</c:v>
                </c:pt>
              </c:numCache>
            </c:numRef>
          </c:val>
          <c:smooth val="0"/>
        </c:ser>
        <c:ser>
          <c:idx val="3"/>
          <c:order val="3"/>
          <c:tx>
            <c:strRef>
              <c:f>Sheet1!$A$5</c:f>
              <c:strCache>
                <c:ptCount val="1"/>
                <c:pt idx="0">
                  <c:v>картофель и овощебахчевые</c:v>
                </c:pt>
              </c:strCache>
            </c:strRef>
          </c:tx>
          <c:spPr>
            <a:ln w="34925">
              <a:solidFill>
                <a:srgbClr val="00FFFF"/>
              </a:solidFill>
              <a:prstDash val="solid"/>
            </a:ln>
            <a:effectLst>
              <a:innerShdw blurRad="63500" dist="50800" dir="13500000">
                <a:prstClr val="black">
                  <a:alpha val="50000"/>
                </a:prstClr>
              </a:innerShdw>
            </a:effectLst>
          </c:spPr>
          <c:marker>
            <c:symbol val="x"/>
            <c:size val="6"/>
            <c:spPr>
              <a:noFill/>
              <a:ln>
                <a:solidFill>
                  <a:srgbClr val="00FFFF"/>
                </a:solidFill>
                <a:prstDash val="solid"/>
              </a:ln>
              <a:effectLst>
                <a:innerShdw blurRad="63500" dist="50800" dir="13500000">
                  <a:prstClr val="black">
                    <a:alpha val="50000"/>
                  </a:prstClr>
                </a:innerShdw>
              </a:effectLst>
            </c:spPr>
          </c:marker>
          <c:dLbls>
            <c:dLbl>
              <c:idx val="0"/>
              <c:layout>
                <c:manualLayout>
                  <c:x val="-4.8626597059385934E-2"/>
                  <c:y val="-5.0567430274681162E-3"/>
                </c:manualLayout>
              </c:layout>
              <c:showLegendKey val="0"/>
              <c:showVal val="1"/>
              <c:showCatName val="0"/>
              <c:showSerName val="0"/>
              <c:showPercent val="0"/>
              <c:showBubbleSize val="0"/>
            </c:dLbl>
            <c:dLbl>
              <c:idx val="1"/>
              <c:layout>
                <c:manualLayout>
                  <c:x val="-1.4301940311584101E-3"/>
                  <c:y val="2.5283715137340412E-2"/>
                </c:manualLayout>
              </c:layout>
              <c:showLegendKey val="0"/>
              <c:showVal val="1"/>
              <c:showCatName val="0"/>
              <c:showSerName val="0"/>
              <c:showPercent val="0"/>
              <c:showBubbleSize val="0"/>
            </c:dLbl>
            <c:dLbl>
              <c:idx val="2"/>
              <c:layout>
                <c:manualLayout>
                  <c:x val="-2.0022716436217801E-2"/>
                  <c:y val="6.0680916329616932E-2"/>
                </c:manualLayout>
              </c:layout>
              <c:showLegendKey val="0"/>
              <c:showVal val="1"/>
              <c:showCatName val="0"/>
              <c:showSerName val="0"/>
              <c:showPercent val="0"/>
              <c:showBubbleSize val="0"/>
            </c:dLbl>
            <c:dLbl>
              <c:idx val="3"/>
              <c:layout>
                <c:manualLayout>
                  <c:x val="-2.2883104498534836E-2"/>
                  <c:y val="7.0794402384552993E-2"/>
                </c:manualLayout>
              </c:layout>
              <c:showLegendKey val="0"/>
              <c:showVal val="1"/>
              <c:showCatName val="0"/>
              <c:showSerName val="0"/>
              <c:showPercent val="0"/>
              <c:showBubbleSize val="0"/>
            </c:dLbl>
            <c:dLbl>
              <c:idx val="4"/>
              <c:layout>
                <c:manualLayout>
                  <c:x val="-2.4304852501949942E-2"/>
                  <c:y val="5.7210079402810594E-2"/>
                </c:manualLayout>
              </c:layout>
              <c:showLegendKey val="0"/>
              <c:showVal val="1"/>
              <c:showCatName val="0"/>
              <c:showSerName val="0"/>
              <c:showPercent val="0"/>
              <c:showBubbleSize val="0"/>
            </c:dLbl>
            <c:dLbl>
              <c:idx val="5"/>
              <c:layout>
                <c:manualLayout>
                  <c:x val="-2.0022716436217752E-2"/>
                  <c:y val="6.5737659357085587E-2"/>
                </c:manualLayout>
              </c:layout>
              <c:showLegendKey val="0"/>
              <c:showVal val="1"/>
              <c:showCatName val="0"/>
              <c:showSerName val="0"/>
              <c:showPercent val="0"/>
              <c:showBubbleSize val="0"/>
            </c:dLbl>
            <c:dLbl>
              <c:idx val="6"/>
              <c:layout>
                <c:manualLayout>
                  <c:x val="-3.1464268685485082E-2"/>
                  <c:y val="6.0680916329617002E-2"/>
                </c:manualLayout>
              </c:layout>
              <c:showLegendKey val="0"/>
              <c:showVal val="1"/>
              <c:showCatName val="0"/>
              <c:showSerName val="0"/>
              <c:showPercent val="0"/>
              <c:showBubbleSize val="0"/>
            </c:dLbl>
            <c:spPr>
              <a:solidFill>
                <a:srgbClr val="4BACC6">
                  <a:lumMod val="60000"/>
                  <a:lumOff val="40000"/>
                  <a:alpha val="64000"/>
                </a:srgbClr>
              </a:solidFill>
            </c:spPr>
            <c:showLegendKey val="0"/>
            <c:showVal val="1"/>
            <c:showCatName val="0"/>
            <c:showSerName val="0"/>
            <c:showPercent val="0"/>
            <c:showBubbleSize val="0"/>
            <c:showLeaderLines val="0"/>
          </c:dLbls>
          <c:cat>
            <c:numRef>
              <c:f>Sheet1!$B$1:$H$1</c:f>
              <c:numCache>
                <c:formatCode>General</c:formatCode>
                <c:ptCount val="7"/>
                <c:pt idx="0">
                  <c:v>1945</c:v>
                </c:pt>
                <c:pt idx="1">
                  <c:v>1960</c:v>
                </c:pt>
                <c:pt idx="2">
                  <c:v>1970</c:v>
                </c:pt>
                <c:pt idx="3">
                  <c:v>1980</c:v>
                </c:pt>
                <c:pt idx="4">
                  <c:v>1990</c:v>
                </c:pt>
                <c:pt idx="5">
                  <c:v>2000</c:v>
                </c:pt>
                <c:pt idx="6">
                  <c:v>2011</c:v>
                </c:pt>
              </c:numCache>
            </c:numRef>
          </c:cat>
          <c:val>
            <c:numRef>
              <c:f>Sheet1!$B$5:$H$5</c:f>
              <c:numCache>
                <c:formatCode>0.0</c:formatCode>
                <c:ptCount val="7"/>
                <c:pt idx="0">
                  <c:v>75.7</c:v>
                </c:pt>
                <c:pt idx="1">
                  <c:v>78.099999999999994</c:v>
                </c:pt>
                <c:pt idx="2">
                  <c:v>62.2</c:v>
                </c:pt>
                <c:pt idx="3">
                  <c:v>58.3</c:v>
                </c:pt>
                <c:pt idx="4">
                  <c:v>49.2</c:v>
                </c:pt>
                <c:pt idx="5">
                  <c:v>39.4</c:v>
                </c:pt>
                <c:pt idx="6">
                  <c:v>30.8</c:v>
                </c:pt>
              </c:numCache>
            </c:numRef>
          </c:val>
          <c:smooth val="0"/>
        </c:ser>
        <c:dLbls>
          <c:showLegendKey val="0"/>
          <c:showVal val="0"/>
          <c:showCatName val="0"/>
          <c:showSerName val="0"/>
          <c:showPercent val="0"/>
          <c:showBubbleSize val="0"/>
        </c:dLbls>
        <c:marker val="1"/>
        <c:smooth val="0"/>
        <c:axId val="336760192"/>
        <c:axId val="336758656"/>
      </c:lineChart>
      <c:catAx>
        <c:axId val="336747136"/>
        <c:scaling>
          <c:orientation val="minMax"/>
        </c:scaling>
        <c:delete val="0"/>
        <c:axPos val="b"/>
        <c:numFmt formatCode="General" sourceLinked="1"/>
        <c:majorTickMark val="out"/>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ru-RU"/>
          </a:p>
        </c:txPr>
        <c:crossAx val="336757120"/>
        <c:crosses val="autoZero"/>
        <c:auto val="1"/>
        <c:lblAlgn val="ctr"/>
        <c:lblOffset val="100"/>
        <c:tickLblSkip val="1"/>
        <c:tickMarkSkip val="1"/>
        <c:noMultiLvlLbl val="0"/>
      </c:catAx>
      <c:valAx>
        <c:axId val="336757120"/>
        <c:scaling>
          <c:orientation val="minMax"/>
          <c:max val="1200"/>
        </c:scaling>
        <c:delete val="0"/>
        <c:axPos val="l"/>
        <c:numFmt formatCode="0.0" sourceLinked="1"/>
        <c:majorTickMark val="out"/>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Arial"/>
                <a:ea typeface="Arial"/>
                <a:cs typeface="Arial"/>
              </a:defRPr>
            </a:pPr>
            <a:endParaRPr lang="ru-RU"/>
          </a:p>
        </c:txPr>
        <c:crossAx val="336747136"/>
        <c:crosses val="autoZero"/>
        <c:crossBetween val="between"/>
        <c:majorUnit val="200"/>
      </c:valAx>
      <c:valAx>
        <c:axId val="336758656"/>
        <c:scaling>
          <c:orientation val="minMax"/>
          <c:max val="200"/>
        </c:scaling>
        <c:delete val="0"/>
        <c:axPos val="r"/>
        <c:numFmt formatCode="0.0" sourceLinked="1"/>
        <c:majorTickMark val="out"/>
        <c:minorTickMark val="none"/>
        <c:tickLblPos val="nextTo"/>
        <c:crossAx val="336760192"/>
        <c:crosses val="max"/>
        <c:crossBetween val="between"/>
        <c:majorUnit val="40"/>
      </c:valAx>
      <c:catAx>
        <c:axId val="336760192"/>
        <c:scaling>
          <c:orientation val="minMax"/>
        </c:scaling>
        <c:delete val="1"/>
        <c:axPos val="b"/>
        <c:numFmt formatCode="General" sourceLinked="1"/>
        <c:majorTickMark val="out"/>
        <c:minorTickMark val="none"/>
        <c:tickLblPos val="nextTo"/>
        <c:crossAx val="336758656"/>
        <c:crosses val="autoZero"/>
        <c:auto val="1"/>
        <c:lblAlgn val="ctr"/>
        <c:lblOffset val="100"/>
        <c:noMultiLvlLbl val="0"/>
      </c:catAx>
      <c:spPr>
        <a:gradFill>
          <a:gsLst>
            <a:gs pos="0">
              <a:srgbClr val="FFFFFF">
                <a:alpha val="40000"/>
              </a:srgbClr>
            </a:gs>
            <a:gs pos="100000">
              <a:schemeClr val="accent3">
                <a:lumMod val="60000"/>
                <a:lumOff val="40000"/>
              </a:schemeClr>
            </a:gs>
          </a:gsLst>
          <a:lin ang="5400000" scaled="1"/>
        </a:gradFill>
        <a:ln w="25378">
          <a:noFill/>
        </a:ln>
      </c:spPr>
    </c:plotArea>
    <c:legend>
      <c:legendPos val="b"/>
      <c:layout>
        <c:manualLayout>
          <c:xMode val="edge"/>
          <c:yMode val="edge"/>
          <c:x val="8.0377315307877548E-2"/>
          <c:y val="0.90714703362511018"/>
          <c:w val="0.860773162868126"/>
          <c:h val="7.2518216907057023E-2"/>
        </c:manualLayout>
      </c:layout>
      <c:overlay val="0"/>
      <c:spPr>
        <a:noFill/>
        <a:ln w="25378">
          <a:noFill/>
        </a:ln>
      </c:spPr>
      <c:txPr>
        <a:bodyPr/>
        <a:lstStyle/>
        <a:p>
          <a:pPr>
            <a:defRPr sz="919" b="0" i="0" u="none" strike="noStrike" baseline="0">
              <a:solidFill>
                <a:srgbClr val="000000"/>
              </a:solidFill>
              <a:latin typeface="Arial"/>
              <a:ea typeface="Arial"/>
              <a:cs typeface="Arial"/>
            </a:defRPr>
          </a:pPr>
          <a:endParaRPr lang="ru-RU"/>
        </a:p>
      </c:txPr>
    </c:legend>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213316327226259E-2"/>
          <c:y val="3.0579970443898492E-2"/>
          <c:w val="0.86350298627824051"/>
          <c:h val="0.7573352544379367"/>
        </c:manualLayout>
      </c:layout>
      <c:lineChart>
        <c:grouping val="standard"/>
        <c:varyColors val="0"/>
        <c:ser>
          <c:idx val="5"/>
          <c:order val="0"/>
          <c:tx>
            <c:strRef>
              <c:f>Sheet1!$B$1</c:f>
              <c:strCache>
                <c:ptCount val="1"/>
                <c:pt idx="0">
                  <c:v>Зерновые</c:v>
                </c:pt>
              </c:strCache>
            </c:strRef>
          </c:tx>
          <c:spPr>
            <a:ln w="41275">
              <a:solidFill>
                <a:srgbClr val="FF0000"/>
              </a:solidFill>
              <a:prstDash val="solid"/>
            </a:ln>
          </c:spPr>
          <c:marker>
            <c:symbol val="circle"/>
            <c:size val="10"/>
            <c:spPr>
              <a:solidFill>
                <a:srgbClr val="FF0000"/>
              </a:solidFill>
              <a:ln>
                <a:solidFill>
                  <a:srgbClr val="FF0000"/>
                </a:solidFill>
                <a:prstDash val="solid"/>
              </a:ln>
            </c:spPr>
          </c:marker>
          <c:dLbls>
            <c:dLbl>
              <c:idx val="0"/>
              <c:layout>
                <c:manualLayout>
                  <c:x val="-5.8277706183897757E-2"/>
                  <c:y val="3.5707902144044415E-2"/>
                </c:manualLayout>
              </c:layout>
              <c:dLblPos val="r"/>
              <c:showLegendKey val="0"/>
              <c:showVal val="1"/>
              <c:showCatName val="0"/>
              <c:showSerName val="0"/>
              <c:showPercent val="0"/>
              <c:showBubbleSize val="0"/>
            </c:dLbl>
            <c:dLbl>
              <c:idx val="1"/>
              <c:layout>
                <c:manualLayout>
                  <c:x val="-1.607590170273538E-2"/>
                  <c:y val="5.812264568560141E-2"/>
                </c:manualLayout>
              </c:layout>
              <c:dLblPos val="r"/>
              <c:showLegendKey val="0"/>
              <c:showVal val="1"/>
              <c:showCatName val="0"/>
              <c:showSerName val="0"/>
              <c:showPercent val="0"/>
              <c:showBubbleSize val="0"/>
            </c:dLbl>
            <c:dLbl>
              <c:idx val="2"/>
              <c:layout>
                <c:manualLayout>
                  <c:x val="-6.0500839771619956E-2"/>
                  <c:y val="-5.643088025257461E-2"/>
                </c:manualLayout>
              </c:layout>
              <c:dLblPos val="r"/>
              <c:showLegendKey val="0"/>
              <c:showVal val="1"/>
              <c:showCatName val="0"/>
              <c:showSerName val="0"/>
              <c:showPercent val="0"/>
              <c:showBubbleSize val="0"/>
            </c:dLbl>
            <c:dLbl>
              <c:idx val="3"/>
              <c:layout>
                <c:manualLayout>
                  <c:x val="-4.4568889263347233E-2"/>
                  <c:y val="-7.1862236588238912E-2"/>
                </c:manualLayout>
              </c:layout>
              <c:dLblPos val="r"/>
              <c:showLegendKey val="0"/>
              <c:showVal val="1"/>
              <c:showCatName val="0"/>
              <c:showSerName val="0"/>
              <c:showPercent val="0"/>
              <c:showBubbleSize val="0"/>
            </c:dLbl>
            <c:dLbl>
              <c:idx val="4"/>
              <c:layout>
                <c:manualLayout>
                  <c:x val="5.5003323380275913E-3"/>
                  <c:y val="-3.5851144687497671E-2"/>
                </c:manualLayout>
              </c:layout>
              <c:dLblPos val="r"/>
              <c:showLegendKey val="0"/>
              <c:showVal val="1"/>
              <c:showCatName val="0"/>
              <c:showSerName val="0"/>
              <c:showPercent val="0"/>
              <c:showBubbleSize val="0"/>
            </c:dLbl>
            <c:dLbl>
              <c:idx val="5"/>
              <c:layout>
                <c:manualLayout>
                  <c:x val="-2.3394586409300908E-2"/>
                  <c:y val="-5.7698468868037013E-2"/>
                </c:manualLayout>
              </c:layout>
              <c:dLblPos val="r"/>
              <c:showLegendKey val="0"/>
              <c:showVal val="1"/>
              <c:showCatName val="0"/>
              <c:showSerName val="0"/>
              <c:showPercent val="0"/>
              <c:showBubbleSize val="0"/>
            </c:dLbl>
            <c:dLbl>
              <c:idx val="6"/>
              <c:layout>
                <c:manualLayout>
                  <c:x val="-1.4749675790693565E-2"/>
                  <c:y val="-4.4966814893199133E-2"/>
                </c:manualLayout>
              </c:layout>
              <c:dLblPos val="r"/>
              <c:showLegendKey val="0"/>
              <c:showVal val="1"/>
              <c:showCatName val="0"/>
              <c:showSerName val="0"/>
              <c:showPercent val="0"/>
              <c:showBubbleSize val="0"/>
            </c:dLbl>
            <c:dLbl>
              <c:idx val="7"/>
              <c:layout>
                <c:manualLayout>
                  <c:xMode val="edge"/>
                  <c:yMode val="edge"/>
                  <c:x val="0.59446254071658899"/>
                  <c:y val="0.33423180592992513"/>
                </c:manualLayout>
              </c:layout>
              <c:dLblPos val="r"/>
              <c:showLegendKey val="0"/>
              <c:showVal val="1"/>
              <c:showCatName val="0"/>
              <c:showSerName val="0"/>
              <c:showPercent val="0"/>
              <c:showBubbleSize val="0"/>
            </c:dLbl>
            <c:spPr>
              <a:noFill/>
              <a:ln w="25399">
                <a:noFill/>
              </a:ln>
            </c:spPr>
            <c:txPr>
              <a:bodyPr/>
              <a:lstStyle/>
              <a:p>
                <a:pPr>
                  <a:defRPr sz="900" b="1" i="0" u="none" strike="noStrike" baseline="0">
                    <a:solidFill>
                      <a:srgbClr val="FF0000"/>
                    </a:solidFill>
                    <a:latin typeface="Times New Roman CYR"/>
                    <a:ea typeface="Times New Roman CYR"/>
                    <a:cs typeface="Times New Roman CYR"/>
                  </a:defRPr>
                </a:pPr>
                <a:endParaRPr lang="ru-RU"/>
              </a:p>
            </c:txPr>
            <c:showLegendKey val="0"/>
            <c:showVal val="1"/>
            <c:showCatName val="0"/>
            <c:showSerName val="0"/>
            <c:showPercent val="0"/>
            <c:showBubbleSize val="0"/>
            <c:showLeaderLines val="0"/>
          </c:dLbls>
          <c:cat>
            <c:numRef>
              <c:f>Sheet1!$A$2:$A$8</c:f>
              <c:numCache>
                <c:formatCode>General</c:formatCode>
                <c:ptCount val="7"/>
                <c:pt idx="0">
                  <c:v>1940</c:v>
                </c:pt>
                <c:pt idx="1">
                  <c:v>1960</c:v>
                </c:pt>
                <c:pt idx="2">
                  <c:v>1970</c:v>
                </c:pt>
                <c:pt idx="3">
                  <c:v>1980</c:v>
                </c:pt>
                <c:pt idx="4">
                  <c:v>1990</c:v>
                </c:pt>
                <c:pt idx="5">
                  <c:v>2000</c:v>
                </c:pt>
                <c:pt idx="6">
                  <c:v>2011</c:v>
                </c:pt>
              </c:numCache>
            </c:numRef>
          </c:cat>
          <c:val>
            <c:numRef>
              <c:f>Sheet1!$B$2:$B$8</c:f>
              <c:numCache>
                <c:formatCode>0.0</c:formatCode>
                <c:ptCount val="7"/>
                <c:pt idx="0">
                  <c:v>955.1</c:v>
                </c:pt>
                <c:pt idx="1">
                  <c:v>1147</c:v>
                </c:pt>
                <c:pt idx="2">
                  <c:v>1871.5</c:v>
                </c:pt>
                <c:pt idx="3">
                  <c:v>1725.7</c:v>
                </c:pt>
                <c:pt idx="4">
                  <c:v>2121</c:v>
                </c:pt>
                <c:pt idx="5">
                  <c:v>928.5</c:v>
                </c:pt>
                <c:pt idx="6">
                  <c:v>1297.7</c:v>
                </c:pt>
              </c:numCache>
            </c:numRef>
          </c:val>
          <c:smooth val="0"/>
        </c:ser>
        <c:ser>
          <c:idx val="1"/>
          <c:order val="2"/>
          <c:tx>
            <c:strRef>
              <c:f>Sheet1!$D$1</c:f>
              <c:strCache>
                <c:ptCount val="1"/>
                <c:pt idx="0">
                  <c:v>Картофель</c:v>
                </c:pt>
              </c:strCache>
            </c:strRef>
          </c:tx>
          <c:spPr>
            <a:ln w="41275">
              <a:solidFill>
                <a:srgbClr val="008000"/>
              </a:solidFill>
              <a:prstDash val="solid"/>
            </a:ln>
          </c:spPr>
          <c:marker>
            <c:symbol val="square"/>
            <c:size val="10"/>
            <c:spPr>
              <a:solidFill>
                <a:srgbClr val="008000"/>
              </a:solidFill>
              <a:ln>
                <a:solidFill>
                  <a:srgbClr val="008000"/>
                </a:solidFill>
                <a:prstDash val="solid"/>
              </a:ln>
            </c:spPr>
          </c:marker>
          <c:dLbls>
            <c:dLbl>
              <c:idx val="0"/>
              <c:layout>
                <c:manualLayout>
                  <c:x val="-5.8872321485594382E-2"/>
                  <c:y val="-5.4321080458042598E-2"/>
                </c:manualLayout>
              </c:layout>
              <c:dLblPos val="r"/>
              <c:showLegendKey val="0"/>
              <c:showVal val="1"/>
              <c:showCatName val="0"/>
              <c:showSerName val="0"/>
              <c:showPercent val="0"/>
              <c:showBubbleSize val="0"/>
            </c:dLbl>
            <c:dLbl>
              <c:idx val="1"/>
              <c:layout>
                <c:manualLayout>
                  <c:x val="-6.0061101537518174E-2"/>
                  <c:y val="-4.7156029968177714E-2"/>
                </c:manualLayout>
              </c:layout>
              <c:dLblPos val="r"/>
              <c:showLegendKey val="0"/>
              <c:showVal val="1"/>
              <c:showCatName val="0"/>
              <c:showSerName val="0"/>
              <c:showPercent val="0"/>
              <c:showBubbleSize val="0"/>
            </c:dLbl>
            <c:dLbl>
              <c:idx val="2"/>
              <c:layout>
                <c:manualLayout>
                  <c:x val="-3.4795301514112011E-2"/>
                  <c:y val="-6.4021482205350505E-2"/>
                </c:manualLayout>
              </c:layout>
              <c:dLblPos val="r"/>
              <c:showLegendKey val="0"/>
              <c:showVal val="1"/>
              <c:showCatName val="0"/>
              <c:showSerName val="0"/>
              <c:showPercent val="0"/>
              <c:showBubbleSize val="0"/>
            </c:dLbl>
            <c:dLbl>
              <c:idx val="3"/>
              <c:layout>
                <c:manualLayout>
                  <c:x val="-2.3438025350053151E-2"/>
                  <c:y val="-7.5361029675845903E-2"/>
                </c:manualLayout>
              </c:layout>
              <c:dLblPos val="r"/>
              <c:showLegendKey val="0"/>
              <c:showVal val="1"/>
              <c:showCatName val="0"/>
              <c:showSerName val="0"/>
              <c:showPercent val="0"/>
              <c:showBubbleSize val="0"/>
            </c:dLbl>
            <c:dLbl>
              <c:idx val="4"/>
              <c:layout>
                <c:manualLayout>
                  <c:x val="-2.7729415457902792E-2"/>
                  <c:y val="-7.1642152563748965E-2"/>
                </c:manualLayout>
              </c:layout>
              <c:dLblPos val="r"/>
              <c:showLegendKey val="0"/>
              <c:showVal val="1"/>
              <c:showCatName val="0"/>
              <c:showSerName val="0"/>
              <c:showPercent val="0"/>
              <c:showBubbleSize val="0"/>
            </c:dLbl>
            <c:dLbl>
              <c:idx val="5"/>
              <c:layout>
                <c:manualLayout>
                  <c:x val="-3.2374037917735805E-2"/>
                  <c:y val="-7.9806977540572255E-2"/>
                </c:manualLayout>
              </c:layout>
              <c:dLblPos val="r"/>
              <c:showLegendKey val="0"/>
              <c:showVal val="1"/>
              <c:showCatName val="0"/>
              <c:showSerName val="0"/>
              <c:showPercent val="0"/>
              <c:showBubbleSize val="0"/>
            </c:dLbl>
            <c:dLbl>
              <c:idx val="6"/>
              <c:layout>
                <c:manualLayout>
                  <c:x val="-9.1747364008174068E-4"/>
                  <c:y val="-1.1528635461567367E-2"/>
                </c:manualLayout>
              </c:layout>
              <c:dLblPos val="r"/>
              <c:showLegendKey val="0"/>
              <c:showVal val="1"/>
              <c:showCatName val="0"/>
              <c:showSerName val="0"/>
              <c:showPercent val="0"/>
              <c:showBubbleSize val="0"/>
            </c:dLbl>
            <c:dLbl>
              <c:idx val="7"/>
              <c:layout>
                <c:manualLayout>
                  <c:xMode val="edge"/>
                  <c:yMode val="edge"/>
                  <c:x val="0.59446254071658899"/>
                  <c:y val="0.43396226415095396"/>
                </c:manualLayout>
              </c:layout>
              <c:dLblPos val="r"/>
              <c:showLegendKey val="0"/>
              <c:showVal val="1"/>
              <c:showCatName val="0"/>
              <c:showSerName val="0"/>
              <c:showPercent val="0"/>
              <c:showBubbleSize val="0"/>
            </c:dLbl>
            <c:spPr>
              <a:noFill/>
              <a:ln w="25399">
                <a:noFill/>
              </a:ln>
            </c:spPr>
            <c:txPr>
              <a:bodyPr/>
              <a:lstStyle/>
              <a:p>
                <a:pPr>
                  <a:defRPr sz="900" b="1" i="0" u="none" strike="noStrike" baseline="0">
                    <a:solidFill>
                      <a:schemeClr val="accent3">
                        <a:lumMod val="75000"/>
                      </a:schemeClr>
                    </a:solidFill>
                    <a:latin typeface="Times New Roman CYR"/>
                    <a:ea typeface="Times New Roman CYR"/>
                    <a:cs typeface="Times New Roman CYR"/>
                  </a:defRPr>
                </a:pPr>
                <a:endParaRPr lang="ru-RU"/>
              </a:p>
            </c:txPr>
            <c:showLegendKey val="0"/>
            <c:showVal val="1"/>
            <c:showCatName val="0"/>
            <c:showSerName val="0"/>
            <c:showPercent val="0"/>
            <c:showBubbleSize val="0"/>
            <c:showLeaderLines val="0"/>
          </c:dLbls>
          <c:cat>
            <c:numRef>
              <c:f>Sheet1!$A$2:$A$8</c:f>
              <c:numCache>
                <c:formatCode>General</c:formatCode>
                <c:ptCount val="7"/>
                <c:pt idx="0">
                  <c:v>1940</c:v>
                </c:pt>
                <c:pt idx="1">
                  <c:v>1960</c:v>
                </c:pt>
                <c:pt idx="2">
                  <c:v>1970</c:v>
                </c:pt>
                <c:pt idx="3">
                  <c:v>1980</c:v>
                </c:pt>
                <c:pt idx="4">
                  <c:v>1990</c:v>
                </c:pt>
                <c:pt idx="5">
                  <c:v>2000</c:v>
                </c:pt>
                <c:pt idx="6">
                  <c:v>2011</c:v>
                </c:pt>
              </c:numCache>
            </c:numRef>
          </c:cat>
          <c:val>
            <c:numRef>
              <c:f>Sheet1!$D$2:$D$8</c:f>
              <c:numCache>
                <c:formatCode>0.0</c:formatCode>
                <c:ptCount val="7"/>
                <c:pt idx="0">
                  <c:v>267.60000000000002</c:v>
                </c:pt>
                <c:pt idx="1">
                  <c:v>524.79999999999995</c:v>
                </c:pt>
                <c:pt idx="2">
                  <c:v>757</c:v>
                </c:pt>
                <c:pt idx="3">
                  <c:v>536.6</c:v>
                </c:pt>
                <c:pt idx="4">
                  <c:v>372</c:v>
                </c:pt>
                <c:pt idx="5">
                  <c:v>203.7</c:v>
                </c:pt>
                <c:pt idx="6">
                  <c:v>282.89999999999969</c:v>
                </c:pt>
              </c:numCache>
            </c:numRef>
          </c:val>
          <c:smooth val="0"/>
        </c:ser>
        <c:dLbls>
          <c:showLegendKey val="0"/>
          <c:showVal val="1"/>
          <c:showCatName val="0"/>
          <c:showSerName val="0"/>
          <c:showPercent val="0"/>
          <c:showBubbleSize val="0"/>
        </c:dLbls>
        <c:marker val="1"/>
        <c:smooth val="0"/>
        <c:axId val="336882688"/>
        <c:axId val="336896768"/>
      </c:lineChart>
      <c:lineChart>
        <c:grouping val="standard"/>
        <c:varyColors val="0"/>
        <c:ser>
          <c:idx val="0"/>
          <c:order val="1"/>
          <c:tx>
            <c:strRef>
              <c:f>Sheet1!$C$1</c:f>
              <c:strCache>
                <c:ptCount val="1"/>
                <c:pt idx="0">
                  <c:v>Овощи</c:v>
                </c:pt>
              </c:strCache>
            </c:strRef>
          </c:tx>
          <c:spPr>
            <a:ln w="41275">
              <a:solidFill>
                <a:srgbClr val="0000FF"/>
              </a:solidFill>
              <a:prstDash val="solid"/>
            </a:ln>
          </c:spPr>
          <c:marker>
            <c:symbol val="triangle"/>
            <c:size val="10"/>
            <c:spPr>
              <a:solidFill>
                <a:srgbClr val="0000FF"/>
              </a:solidFill>
              <a:ln>
                <a:solidFill>
                  <a:srgbClr val="0000FF"/>
                </a:solidFill>
                <a:prstDash val="solid"/>
              </a:ln>
            </c:spPr>
          </c:marker>
          <c:dLbls>
            <c:dLbl>
              <c:idx val="0"/>
              <c:layout>
                <c:manualLayout>
                  <c:x val="-4.2864903606202723E-2"/>
                  <c:y val="-6.7863138640407022E-2"/>
                </c:manualLayout>
              </c:layout>
              <c:dLblPos val="r"/>
              <c:showLegendKey val="0"/>
              <c:showVal val="1"/>
              <c:showCatName val="0"/>
              <c:showSerName val="0"/>
              <c:showPercent val="0"/>
              <c:showBubbleSize val="0"/>
            </c:dLbl>
            <c:dLbl>
              <c:idx val="1"/>
              <c:layout>
                <c:manualLayout>
                  <c:x val="-3.9681081647923652E-2"/>
                  <c:y val="-6.0869728632639314E-2"/>
                </c:manualLayout>
              </c:layout>
              <c:dLblPos val="r"/>
              <c:showLegendKey val="0"/>
              <c:showVal val="1"/>
              <c:showCatName val="0"/>
              <c:showSerName val="0"/>
              <c:showPercent val="0"/>
              <c:showBubbleSize val="0"/>
            </c:dLbl>
            <c:dLbl>
              <c:idx val="2"/>
              <c:layout>
                <c:manualLayout>
                  <c:x val="-4.6733451160051924E-4"/>
                  <c:y val="4.1798007132894013E-2"/>
                </c:manualLayout>
              </c:layout>
              <c:dLblPos val="r"/>
              <c:showLegendKey val="0"/>
              <c:showVal val="1"/>
              <c:showCatName val="0"/>
              <c:showSerName val="0"/>
              <c:showPercent val="0"/>
              <c:showBubbleSize val="0"/>
            </c:dLbl>
            <c:dLbl>
              <c:idx val="3"/>
              <c:layout>
                <c:manualLayout>
                  <c:x val="-2.5221420703673642E-2"/>
                  <c:y val="8.5835692867941238E-2"/>
                </c:manualLayout>
              </c:layout>
              <c:dLblPos val="r"/>
              <c:showLegendKey val="0"/>
              <c:showVal val="1"/>
              <c:showCatName val="0"/>
              <c:showSerName val="0"/>
              <c:showPercent val="0"/>
              <c:showBubbleSize val="0"/>
            </c:dLbl>
            <c:dLbl>
              <c:idx val="4"/>
              <c:layout>
                <c:manualLayout>
                  <c:x val="-3.3365589063944393E-2"/>
                  <c:y val="7.4968887552515878E-2"/>
                </c:manualLayout>
              </c:layout>
              <c:dLblPos val="r"/>
              <c:showLegendKey val="0"/>
              <c:showVal val="1"/>
              <c:showCatName val="0"/>
              <c:showSerName val="0"/>
              <c:showPercent val="0"/>
              <c:showBubbleSize val="0"/>
            </c:dLbl>
            <c:dLbl>
              <c:idx val="5"/>
              <c:layout>
                <c:manualLayout>
                  <c:x val="-3.850638132941744E-3"/>
                  <c:y val="5.0899128851470431E-2"/>
                </c:manualLayout>
              </c:layout>
              <c:dLblPos val="r"/>
              <c:showLegendKey val="0"/>
              <c:showVal val="1"/>
              <c:showCatName val="0"/>
              <c:showSerName val="0"/>
              <c:showPercent val="0"/>
              <c:showBubbleSize val="0"/>
            </c:dLbl>
            <c:dLbl>
              <c:idx val="6"/>
              <c:layout>
                <c:manualLayout>
                  <c:x val="-3.4107872609725302E-3"/>
                  <c:y val="-2.5307574732516482E-3"/>
                </c:manualLayout>
              </c:layout>
              <c:dLblPos val="r"/>
              <c:showLegendKey val="0"/>
              <c:showVal val="1"/>
              <c:showCatName val="0"/>
              <c:showSerName val="0"/>
              <c:showPercent val="0"/>
              <c:showBubbleSize val="0"/>
            </c:dLbl>
            <c:dLbl>
              <c:idx val="7"/>
              <c:layout>
                <c:manualLayout>
                  <c:xMode val="edge"/>
                  <c:yMode val="edge"/>
                  <c:x val="0.60423452768729669"/>
                  <c:y val="0.47708894878706964"/>
                </c:manualLayout>
              </c:layout>
              <c:dLblPos val="r"/>
              <c:showLegendKey val="0"/>
              <c:showVal val="1"/>
              <c:showCatName val="0"/>
              <c:showSerName val="0"/>
              <c:showPercent val="0"/>
              <c:showBubbleSize val="0"/>
            </c:dLbl>
            <c:spPr>
              <a:noFill/>
              <a:ln w="25399">
                <a:noFill/>
              </a:ln>
            </c:spPr>
            <c:txPr>
              <a:bodyPr/>
              <a:lstStyle/>
              <a:p>
                <a:pPr>
                  <a:defRPr sz="900" b="1" i="0" u="none" strike="noStrike" baseline="0">
                    <a:solidFill>
                      <a:srgbClr val="0070C0"/>
                    </a:solidFill>
                    <a:latin typeface="Times New Roman CYR"/>
                    <a:ea typeface="Times New Roman CYR"/>
                    <a:cs typeface="Times New Roman CYR"/>
                  </a:defRPr>
                </a:pPr>
                <a:endParaRPr lang="ru-RU"/>
              </a:p>
            </c:txPr>
            <c:showLegendKey val="0"/>
            <c:showVal val="1"/>
            <c:showCatName val="0"/>
            <c:showSerName val="0"/>
            <c:showPercent val="0"/>
            <c:showBubbleSize val="0"/>
            <c:showLeaderLines val="0"/>
          </c:dLbls>
          <c:cat>
            <c:numRef>
              <c:f>Sheet1!$A$2:$A$8</c:f>
              <c:numCache>
                <c:formatCode>General</c:formatCode>
                <c:ptCount val="7"/>
                <c:pt idx="0">
                  <c:v>1940</c:v>
                </c:pt>
                <c:pt idx="1">
                  <c:v>1960</c:v>
                </c:pt>
                <c:pt idx="2">
                  <c:v>1970</c:v>
                </c:pt>
                <c:pt idx="3">
                  <c:v>1980</c:v>
                </c:pt>
                <c:pt idx="4">
                  <c:v>1990</c:v>
                </c:pt>
                <c:pt idx="5">
                  <c:v>2000</c:v>
                </c:pt>
                <c:pt idx="6">
                  <c:v>2011</c:v>
                </c:pt>
              </c:numCache>
            </c:numRef>
          </c:cat>
          <c:val>
            <c:numRef>
              <c:f>Sheet1!$C$2:$C$8</c:f>
              <c:numCache>
                <c:formatCode>0.0</c:formatCode>
                <c:ptCount val="7"/>
                <c:pt idx="0">
                  <c:v>64.7</c:v>
                </c:pt>
                <c:pt idx="1">
                  <c:v>70.5</c:v>
                </c:pt>
                <c:pt idx="2">
                  <c:v>72</c:v>
                </c:pt>
                <c:pt idx="3">
                  <c:v>99</c:v>
                </c:pt>
                <c:pt idx="4">
                  <c:v>91.8</c:v>
                </c:pt>
                <c:pt idx="5">
                  <c:v>95.8</c:v>
                </c:pt>
                <c:pt idx="6">
                  <c:v>120.7</c:v>
                </c:pt>
              </c:numCache>
            </c:numRef>
          </c:val>
          <c:smooth val="0"/>
        </c:ser>
        <c:dLbls>
          <c:showLegendKey val="0"/>
          <c:showVal val="0"/>
          <c:showCatName val="0"/>
          <c:showSerName val="0"/>
          <c:showPercent val="0"/>
          <c:showBubbleSize val="0"/>
        </c:dLbls>
        <c:marker val="1"/>
        <c:smooth val="0"/>
        <c:axId val="336908672"/>
        <c:axId val="336898688"/>
      </c:lineChart>
      <c:catAx>
        <c:axId val="33688268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336896768"/>
        <c:crosses val="autoZero"/>
        <c:auto val="1"/>
        <c:lblAlgn val="ctr"/>
        <c:lblOffset val="100"/>
        <c:tickLblSkip val="1"/>
        <c:tickMarkSkip val="1"/>
        <c:noMultiLvlLbl val="0"/>
      </c:catAx>
      <c:valAx>
        <c:axId val="336896768"/>
        <c:scaling>
          <c:orientation val="minMax"/>
        </c:scaling>
        <c:delete val="0"/>
        <c:axPos val="l"/>
        <c:title>
          <c:tx>
            <c:rich>
              <a:bodyPr/>
              <a:lstStyle/>
              <a:p>
                <a:pPr>
                  <a:defRPr sz="1000" b="0" i="0" u="none" strike="noStrike" baseline="0">
                    <a:solidFill>
                      <a:srgbClr val="000000"/>
                    </a:solidFill>
                    <a:latin typeface="Arial"/>
                    <a:ea typeface="Arial"/>
                    <a:cs typeface="Arial"/>
                  </a:defRPr>
                </a:pPr>
                <a:r>
                  <a:rPr lang="ru-RU"/>
                  <a:t>тыс. тонн</a:t>
                </a:r>
              </a:p>
            </c:rich>
          </c:tx>
          <c:layout>
            <c:manualLayout>
              <c:xMode val="edge"/>
              <c:yMode val="edge"/>
              <c:x val="1.183789425631253E-2"/>
              <c:y val="0.26913825058728724"/>
            </c:manualLayout>
          </c:layout>
          <c:overlay val="0"/>
          <c:spPr>
            <a:noFill/>
            <a:ln w="25399">
              <a:noFill/>
            </a:ln>
          </c:spPr>
        </c:title>
        <c:numFmt formatCode="General" sourceLinked="0"/>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336882688"/>
        <c:crosses val="autoZero"/>
        <c:crossBetween val="between"/>
      </c:valAx>
      <c:valAx>
        <c:axId val="336898688"/>
        <c:scaling>
          <c:orientation val="minMax"/>
        </c:scaling>
        <c:delete val="0"/>
        <c:axPos val="r"/>
        <c:numFmt formatCode="0.0" sourceLinked="1"/>
        <c:majorTickMark val="out"/>
        <c:minorTickMark val="none"/>
        <c:tickLblPos val="nextTo"/>
        <c:crossAx val="336908672"/>
        <c:crosses val="max"/>
        <c:crossBetween val="between"/>
      </c:valAx>
      <c:catAx>
        <c:axId val="336908672"/>
        <c:scaling>
          <c:orientation val="minMax"/>
        </c:scaling>
        <c:delete val="1"/>
        <c:axPos val="b"/>
        <c:numFmt formatCode="General" sourceLinked="1"/>
        <c:majorTickMark val="out"/>
        <c:minorTickMark val="none"/>
        <c:tickLblPos val="nextTo"/>
        <c:crossAx val="336898688"/>
        <c:crosses val="autoZero"/>
        <c:auto val="1"/>
        <c:lblAlgn val="ctr"/>
        <c:lblOffset val="100"/>
        <c:noMultiLvlLbl val="0"/>
      </c:catAx>
      <c:spPr>
        <a:gradFill>
          <a:gsLst>
            <a:gs pos="0">
              <a:srgbClr val="FFFFFF">
                <a:alpha val="40000"/>
              </a:srgbClr>
            </a:gs>
            <a:gs pos="100000">
              <a:schemeClr val="accent6">
                <a:lumMod val="60000"/>
                <a:lumOff val="40000"/>
              </a:schemeClr>
            </a:gs>
          </a:gsLst>
          <a:lin ang="5400000" scaled="1"/>
        </a:gradFill>
        <a:ln w="25399">
          <a:noFill/>
        </a:ln>
      </c:spPr>
    </c:plotArea>
    <c:legend>
      <c:legendPos val="b"/>
      <c:layout>
        <c:manualLayout>
          <c:xMode val="edge"/>
          <c:yMode val="edge"/>
          <c:x val="1.1400651465798325E-2"/>
          <c:y val="0.92452830188679247"/>
          <c:w val="0.97231270358306188"/>
          <c:h val="7.8167115902964962E-2"/>
        </c:manualLayout>
      </c:layout>
      <c:overlay val="0"/>
      <c:spPr>
        <a:solidFill>
          <a:srgbClr val="FFFFFF"/>
        </a:solidFill>
        <a:ln w="25399">
          <a:noFill/>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312803889789333E-2"/>
          <c:y val="3.5714285714285712E-2"/>
          <c:w val="0.88978930307941662"/>
          <c:h val="0.79166666666666652"/>
        </c:manualLayout>
      </c:layout>
      <c:lineChart>
        <c:grouping val="standard"/>
        <c:varyColors val="0"/>
        <c:ser>
          <c:idx val="0"/>
          <c:order val="0"/>
          <c:tx>
            <c:strRef>
              <c:f>Sheet1!$A$2</c:f>
              <c:strCache>
                <c:ptCount val="1"/>
                <c:pt idx="0">
                  <c:v>Крупный рогатый скот</c:v>
                </c:pt>
              </c:strCache>
            </c:strRef>
          </c:tx>
          <c:spPr>
            <a:ln w="34925">
              <a:solidFill>
                <a:schemeClr val="tx2">
                  <a:lumMod val="60000"/>
                  <a:lumOff val="40000"/>
                </a:schemeClr>
              </a:solidFill>
              <a:prstDash val="solid"/>
            </a:ln>
          </c:spPr>
          <c:marker>
            <c:symbol val="triangle"/>
            <c:size val="10"/>
            <c:spPr>
              <a:solidFill>
                <a:schemeClr val="tx2">
                  <a:lumMod val="60000"/>
                  <a:lumOff val="40000"/>
                </a:schemeClr>
              </a:solidFill>
              <a:ln>
                <a:solidFill>
                  <a:schemeClr val="tx2">
                    <a:lumMod val="60000"/>
                    <a:lumOff val="40000"/>
                  </a:schemeClr>
                </a:solidFill>
                <a:prstDash val="solid"/>
              </a:ln>
              <a:scene3d>
                <a:camera prst="orthographicFront"/>
                <a:lightRig rig="threePt" dir="t"/>
              </a:scene3d>
              <a:sp3d>
                <a:bevelT/>
              </a:sp3d>
            </c:spPr>
          </c:marker>
          <c:dLbls>
            <c:dLbl>
              <c:idx val="0"/>
              <c:layout>
                <c:manualLayout>
                  <c:x val="-1.1957120096606736E-3"/>
                  <c:y val="1.5669001258815669E-2"/>
                </c:manualLayout>
              </c:layout>
              <c:dLblPos val="r"/>
              <c:showLegendKey val="0"/>
              <c:showVal val="1"/>
              <c:showCatName val="0"/>
              <c:showSerName val="0"/>
              <c:showPercent val="0"/>
              <c:showBubbleSize val="0"/>
            </c:dLbl>
            <c:dLbl>
              <c:idx val="1"/>
              <c:layout>
                <c:manualLayout>
                  <c:x val="-5.5721086492075148E-2"/>
                  <c:y val="-5.7744153271069756E-2"/>
                </c:manualLayout>
              </c:layout>
              <c:dLblPos val="r"/>
              <c:showLegendKey val="0"/>
              <c:showVal val="1"/>
              <c:showCatName val="0"/>
              <c:showSerName val="0"/>
              <c:showPercent val="0"/>
              <c:showBubbleSize val="0"/>
            </c:dLbl>
            <c:dLbl>
              <c:idx val="2"/>
              <c:layout>
                <c:manualLayout>
                  <c:x val="-7.5980509546473771E-2"/>
                  <c:y val="-3.9862445889580836E-2"/>
                </c:manualLayout>
              </c:layout>
              <c:dLblPos val="r"/>
              <c:showLegendKey val="0"/>
              <c:showVal val="1"/>
              <c:showCatName val="0"/>
              <c:showSerName val="0"/>
              <c:showPercent val="0"/>
              <c:showBubbleSize val="0"/>
            </c:dLbl>
            <c:dLbl>
              <c:idx val="3"/>
              <c:layout>
                <c:manualLayout>
                  <c:x val="-4.5996653165859096E-2"/>
                  <c:y val="-5.2870251222934032E-2"/>
                </c:manualLayout>
              </c:layout>
              <c:dLblPos val="r"/>
              <c:showLegendKey val="0"/>
              <c:showVal val="1"/>
              <c:showCatName val="0"/>
              <c:showSerName val="0"/>
              <c:showPercent val="0"/>
              <c:showBubbleSize val="0"/>
            </c:dLbl>
            <c:dLbl>
              <c:idx val="4"/>
              <c:layout>
                <c:manualLayout>
                  <c:x val="-4.6806962101289949E-2"/>
                  <c:y val="-5.8865627318844975E-2"/>
                </c:manualLayout>
              </c:layout>
              <c:dLblPos val="r"/>
              <c:showLegendKey val="0"/>
              <c:showVal val="1"/>
              <c:showCatName val="0"/>
              <c:showSerName val="0"/>
              <c:showPercent val="0"/>
              <c:showBubbleSize val="0"/>
            </c:dLbl>
            <c:dLbl>
              <c:idx val="5"/>
              <c:layout>
                <c:manualLayout>
                  <c:x val="-2.4927001038994787E-2"/>
                  <c:y val="-5.7254563585699046E-2"/>
                </c:manualLayout>
              </c:layout>
              <c:dLblPos val="r"/>
              <c:showLegendKey val="0"/>
              <c:showVal val="1"/>
              <c:showCatName val="0"/>
              <c:showSerName val="0"/>
              <c:showPercent val="0"/>
              <c:showBubbleSize val="0"/>
            </c:dLbl>
            <c:dLbl>
              <c:idx val="6"/>
              <c:layout>
                <c:manualLayout>
                  <c:x val="-1.6721208997518524E-2"/>
                  <c:y val="-5.34378149373275E-2"/>
                </c:manualLayout>
              </c:layout>
              <c:dLblPos val="r"/>
              <c:showLegendKey val="0"/>
              <c:showVal val="1"/>
              <c:showCatName val="0"/>
              <c:showSerName val="0"/>
              <c:showPercent val="0"/>
              <c:showBubbleSize val="0"/>
            </c:dLbl>
            <c:spPr>
              <a:noFill/>
              <a:ln w="25376">
                <a:noFill/>
              </a:ln>
            </c:spPr>
            <c:txPr>
              <a:bodyPr/>
              <a:lstStyle/>
              <a:p>
                <a:pPr>
                  <a:defRPr sz="1000" b="1" i="0" u="none" strike="noStrike" baseline="0">
                    <a:solidFill>
                      <a:srgbClr val="000000"/>
                    </a:solidFill>
                    <a:latin typeface="Arial" pitchFamily="34" charset="0"/>
                    <a:ea typeface="Times New Roman Cyr"/>
                    <a:cs typeface="Times New Roman Cyr"/>
                  </a:defRPr>
                </a:pPr>
                <a:endParaRPr lang="ru-RU"/>
              </a:p>
            </c:txPr>
            <c:showLegendKey val="0"/>
            <c:showVal val="1"/>
            <c:showCatName val="0"/>
            <c:showSerName val="0"/>
            <c:showPercent val="0"/>
            <c:showBubbleSize val="0"/>
            <c:showLeaderLines val="0"/>
          </c:dLbls>
          <c:cat>
            <c:numRef>
              <c:f>Sheet1!$B$1:$H$1</c:f>
              <c:numCache>
                <c:formatCode>General</c:formatCode>
                <c:ptCount val="7"/>
                <c:pt idx="0">
                  <c:v>1945</c:v>
                </c:pt>
                <c:pt idx="1">
                  <c:v>1960</c:v>
                </c:pt>
                <c:pt idx="2">
                  <c:v>1970</c:v>
                </c:pt>
                <c:pt idx="3">
                  <c:v>1980</c:v>
                </c:pt>
                <c:pt idx="4">
                  <c:v>1990</c:v>
                </c:pt>
                <c:pt idx="5">
                  <c:v>2000</c:v>
                </c:pt>
                <c:pt idx="6">
                  <c:v>2011</c:v>
                </c:pt>
              </c:numCache>
            </c:numRef>
          </c:cat>
          <c:val>
            <c:numRef>
              <c:f>Sheet1!$B$2:$H$2</c:f>
              <c:numCache>
                <c:formatCode>General</c:formatCode>
                <c:ptCount val="7"/>
                <c:pt idx="0">
                  <c:v>267.39999999999969</c:v>
                </c:pt>
                <c:pt idx="1">
                  <c:v>472.3</c:v>
                </c:pt>
                <c:pt idx="2">
                  <c:v>621.20000000000005</c:v>
                </c:pt>
                <c:pt idx="3">
                  <c:v>731.6</c:v>
                </c:pt>
                <c:pt idx="4">
                  <c:v>701.1</c:v>
                </c:pt>
                <c:pt idx="5">
                  <c:v>300.3</c:v>
                </c:pt>
                <c:pt idx="6" formatCode="0.0">
                  <c:v>154.80000000000001</c:v>
                </c:pt>
              </c:numCache>
            </c:numRef>
          </c:val>
          <c:smooth val="0"/>
        </c:ser>
        <c:ser>
          <c:idx val="1"/>
          <c:order val="1"/>
          <c:tx>
            <c:strRef>
              <c:f>Sheet1!$A$3</c:f>
              <c:strCache>
                <c:ptCount val="1"/>
                <c:pt idx="0">
                  <c:v>Свиньи</c:v>
                </c:pt>
              </c:strCache>
            </c:strRef>
          </c:tx>
          <c:spPr>
            <a:ln w="34925">
              <a:solidFill>
                <a:srgbClr val="FF00FF"/>
              </a:solidFill>
              <a:prstDash val="solid"/>
            </a:ln>
          </c:spPr>
          <c:marker>
            <c:symbol val="square"/>
            <c:size val="10"/>
            <c:spPr>
              <a:solidFill>
                <a:srgbClr val="FF00FF"/>
              </a:solidFill>
              <a:ln>
                <a:solidFill>
                  <a:srgbClr val="FF00FF"/>
                </a:solidFill>
                <a:prstDash val="solid"/>
              </a:ln>
              <a:scene3d>
                <a:camera prst="orthographicFront"/>
                <a:lightRig rig="threePt" dir="t"/>
              </a:scene3d>
              <a:sp3d>
                <a:bevelT/>
              </a:sp3d>
            </c:spPr>
          </c:marker>
          <c:dLbls>
            <c:dLbl>
              <c:idx val="1"/>
              <c:layout>
                <c:manualLayout>
                  <c:x val="-3.1409903347828845E-2"/>
                  <c:y val="5.3784968136932822E-2"/>
                </c:manualLayout>
              </c:layout>
              <c:dLblPos val="r"/>
              <c:showLegendKey val="0"/>
              <c:showVal val="1"/>
              <c:showCatName val="0"/>
              <c:showSerName val="0"/>
              <c:showPercent val="0"/>
              <c:showBubbleSize val="0"/>
            </c:dLbl>
            <c:dLbl>
              <c:idx val="2"/>
              <c:layout>
                <c:manualLayout>
                  <c:x val="-5.0048580859277714E-2"/>
                  <c:y val="5.7946924405214512E-2"/>
                </c:manualLayout>
              </c:layout>
              <c:dLblPos val="r"/>
              <c:showLegendKey val="0"/>
              <c:showVal val="1"/>
              <c:showCatName val="0"/>
              <c:showSerName val="0"/>
              <c:showPercent val="0"/>
              <c:showBubbleSize val="0"/>
            </c:dLbl>
            <c:dLbl>
              <c:idx val="3"/>
              <c:layout>
                <c:manualLayout>
                  <c:x val="-5.7341871966507772E-2"/>
                  <c:y val="4.4648026387335872E-2"/>
                </c:manualLayout>
              </c:layout>
              <c:dLblPos val="r"/>
              <c:showLegendKey val="0"/>
              <c:showVal val="1"/>
              <c:showCatName val="0"/>
              <c:showSerName val="0"/>
              <c:showPercent val="0"/>
              <c:showBubbleSize val="0"/>
            </c:dLbl>
            <c:dLbl>
              <c:idx val="4"/>
              <c:layout>
                <c:manualLayout>
                  <c:x val="-3.2454880292184631E-3"/>
                  <c:y val="6.0853190161029814E-3"/>
                </c:manualLayout>
              </c:layout>
              <c:dLblPos val="r"/>
              <c:showLegendKey val="0"/>
              <c:showVal val="1"/>
              <c:showCatName val="0"/>
              <c:showSerName val="0"/>
              <c:showPercent val="0"/>
              <c:showBubbleSize val="0"/>
            </c:dLbl>
            <c:dLbl>
              <c:idx val="5"/>
              <c:layout>
                <c:manualLayout>
                  <c:x val="-7.0988000665480394E-3"/>
                  <c:y val="-3.8836060468833616E-2"/>
                </c:manualLayout>
              </c:layout>
              <c:dLblPos val="r"/>
              <c:showLegendKey val="0"/>
              <c:showVal val="1"/>
              <c:showCatName val="0"/>
              <c:showSerName val="0"/>
              <c:showPercent val="0"/>
              <c:showBubbleSize val="0"/>
            </c:dLbl>
            <c:dLbl>
              <c:idx val="6"/>
              <c:layout>
                <c:manualLayout>
                  <c:x val="-4.83526541939958E-2"/>
                  <c:y val="2.0562871446509746E-2"/>
                </c:manualLayout>
              </c:layout>
              <c:dLblPos val="r"/>
              <c:showLegendKey val="0"/>
              <c:showVal val="1"/>
              <c:showCatName val="0"/>
              <c:showSerName val="0"/>
              <c:showPercent val="0"/>
              <c:showBubbleSize val="0"/>
            </c:dLbl>
            <c:dLbl>
              <c:idx val="7"/>
              <c:layout>
                <c:manualLayout>
                  <c:xMode val="edge"/>
                  <c:yMode val="edge"/>
                  <c:x val="0.60453808752025928"/>
                  <c:y val="0.51785714285714257"/>
                </c:manualLayout>
              </c:layout>
              <c:dLblPos val="r"/>
              <c:showLegendKey val="0"/>
              <c:showVal val="1"/>
              <c:showCatName val="0"/>
              <c:showSerName val="0"/>
              <c:showPercent val="0"/>
              <c:showBubbleSize val="0"/>
            </c:dLbl>
            <c:spPr>
              <a:noFill/>
              <a:ln w="25376">
                <a:noFill/>
              </a:ln>
            </c:spPr>
            <c:txPr>
              <a:bodyPr/>
              <a:lstStyle/>
              <a:p>
                <a:pPr>
                  <a:defRPr sz="1000" b="1" i="0" u="none" strike="noStrike" baseline="0">
                    <a:solidFill>
                      <a:srgbClr val="000000"/>
                    </a:solidFill>
                    <a:latin typeface="Arial" pitchFamily="34" charset="0"/>
                    <a:ea typeface="Times New Roman Cyr"/>
                    <a:cs typeface="Times New Roman Cyr"/>
                  </a:defRPr>
                </a:pPr>
                <a:endParaRPr lang="ru-RU"/>
              </a:p>
            </c:txPr>
            <c:showLegendKey val="0"/>
            <c:showVal val="1"/>
            <c:showCatName val="0"/>
            <c:showSerName val="0"/>
            <c:showPercent val="0"/>
            <c:showBubbleSize val="0"/>
            <c:showLeaderLines val="0"/>
          </c:dLbls>
          <c:cat>
            <c:numRef>
              <c:f>Sheet1!$B$1:$H$1</c:f>
              <c:numCache>
                <c:formatCode>General</c:formatCode>
                <c:ptCount val="7"/>
                <c:pt idx="0">
                  <c:v>1945</c:v>
                </c:pt>
                <c:pt idx="1">
                  <c:v>1960</c:v>
                </c:pt>
                <c:pt idx="2">
                  <c:v>1970</c:v>
                </c:pt>
                <c:pt idx="3">
                  <c:v>1980</c:v>
                </c:pt>
                <c:pt idx="4">
                  <c:v>1990</c:v>
                </c:pt>
                <c:pt idx="5">
                  <c:v>2000</c:v>
                </c:pt>
                <c:pt idx="6">
                  <c:v>2011</c:v>
                </c:pt>
              </c:numCache>
            </c:numRef>
          </c:cat>
          <c:val>
            <c:numRef>
              <c:f>Sheet1!$B$3:$H$3</c:f>
              <c:numCache>
                <c:formatCode>General</c:formatCode>
                <c:ptCount val="7"/>
                <c:pt idx="0">
                  <c:v>29.8</c:v>
                </c:pt>
                <c:pt idx="1">
                  <c:v>392.7</c:v>
                </c:pt>
                <c:pt idx="2">
                  <c:v>444.8</c:v>
                </c:pt>
                <c:pt idx="3">
                  <c:v>487.2</c:v>
                </c:pt>
                <c:pt idx="4">
                  <c:v>583.1</c:v>
                </c:pt>
                <c:pt idx="5">
                  <c:v>165.6</c:v>
                </c:pt>
                <c:pt idx="6" formatCode="0.0">
                  <c:v>145.5</c:v>
                </c:pt>
              </c:numCache>
            </c:numRef>
          </c:val>
          <c:smooth val="0"/>
        </c:ser>
        <c:ser>
          <c:idx val="2"/>
          <c:order val="2"/>
          <c:tx>
            <c:strRef>
              <c:f>Sheet1!$A$4</c:f>
              <c:strCache>
                <c:ptCount val="1"/>
                <c:pt idx="0">
                  <c:v>Овцы и козы</c:v>
                </c:pt>
              </c:strCache>
            </c:strRef>
          </c:tx>
          <c:spPr>
            <a:ln w="34925">
              <a:solidFill>
                <a:srgbClr val="800000"/>
              </a:solidFill>
              <a:prstDash val="solid"/>
            </a:ln>
          </c:spPr>
          <c:marker>
            <c:symbol val="circle"/>
            <c:size val="10"/>
            <c:spPr>
              <a:solidFill>
                <a:srgbClr val="800000"/>
              </a:solidFill>
              <a:ln>
                <a:solidFill>
                  <a:srgbClr val="800000"/>
                </a:solidFill>
                <a:prstDash val="solid"/>
              </a:ln>
              <a:scene3d>
                <a:camera prst="orthographicFront"/>
                <a:lightRig rig="threePt" dir="t"/>
              </a:scene3d>
              <a:sp3d>
                <a:bevelT/>
              </a:sp3d>
            </c:spPr>
          </c:marker>
          <c:dLbls>
            <c:dLbl>
              <c:idx val="0"/>
              <c:layout>
                <c:manualLayout>
                  <c:x val="-1.1150647171566636E-2"/>
                  <c:y val="-0.10785745227350527"/>
                </c:manualLayout>
              </c:layout>
              <c:dLblPos val="r"/>
              <c:showLegendKey val="0"/>
              <c:showVal val="1"/>
              <c:showCatName val="0"/>
              <c:showSerName val="0"/>
              <c:showPercent val="0"/>
              <c:showBubbleSize val="0"/>
            </c:dLbl>
            <c:dLbl>
              <c:idx val="1"/>
              <c:layout>
                <c:manualLayout>
                  <c:x val="-6.4881541870524473E-2"/>
                  <c:y val="1.4953426962463486E-2"/>
                </c:manualLayout>
              </c:layout>
              <c:dLblPos val="r"/>
              <c:showLegendKey val="0"/>
              <c:showVal val="1"/>
              <c:showCatName val="0"/>
              <c:showSerName val="0"/>
              <c:showPercent val="0"/>
              <c:showBubbleSize val="0"/>
            </c:dLbl>
            <c:dLbl>
              <c:idx val="2"/>
              <c:layout>
                <c:manualLayout>
                  <c:x val="-4.1944853144528976E-2"/>
                  <c:y val="-5.2328568054065501E-2"/>
                </c:manualLayout>
              </c:layout>
              <c:dLblPos val="r"/>
              <c:showLegendKey val="0"/>
              <c:showVal val="1"/>
              <c:showCatName val="0"/>
              <c:showSerName val="0"/>
              <c:showPercent val="0"/>
              <c:showBubbleSize val="0"/>
            </c:dLbl>
            <c:dLbl>
              <c:idx val="3"/>
              <c:layout>
                <c:manualLayout>
                  <c:x val="-1.4221335945579987E-3"/>
                  <c:y val="-2.9844970652445839E-2"/>
                </c:manualLayout>
              </c:layout>
              <c:showLegendKey val="0"/>
              <c:showVal val="1"/>
              <c:showCatName val="0"/>
              <c:showSerName val="0"/>
              <c:showPercent val="0"/>
              <c:showBubbleSize val="0"/>
            </c:dLbl>
            <c:dLbl>
              <c:idx val="4"/>
              <c:layout>
                <c:manualLayout>
                  <c:x val="-5.9772926444889532E-2"/>
                  <c:y val="2.8710293644880407E-2"/>
                </c:manualLayout>
              </c:layout>
              <c:dLblPos val="r"/>
              <c:showLegendKey val="0"/>
              <c:showVal val="1"/>
              <c:showCatName val="0"/>
              <c:showSerName val="0"/>
              <c:showPercent val="0"/>
              <c:showBubbleSize val="0"/>
            </c:dLbl>
            <c:dLbl>
              <c:idx val="5"/>
              <c:layout>
                <c:manualLayout>
                  <c:x val="-7.354936732748768E-2"/>
                  <c:y val="-1.1490232395068163E-2"/>
                </c:manualLayout>
              </c:layout>
              <c:dLblPos val="r"/>
              <c:showLegendKey val="0"/>
              <c:showVal val="1"/>
              <c:showCatName val="0"/>
              <c:showSerName val="0"/>
              <c:showPercent val="0"/>
              <c:showBubbleSize val="0"/>
            </c:dLbl>
            <c:dLbl>
              <c:idx val="6"/>
              <c:layout>
                <c:manualLayout>
                  <c:x val="-3.6829900728357033E-4"/>
                  <c:y val="4.2814607898969591E-2"/>
                </c:manualLayout>
              </c:layout>
              <c:dLblPos val="r"/>
              <c:showLegendKey val="0"/>
              <c:showVal val="1"/>
              <c:showCatName val="0"/>
              <c:showSerName val="0"/>
              <c:showPercent val="0"/>
              <c:showBubbleSize val="0"/>
            </c:dLbl>
            <c:dLbl>
              <c:idx val="7"/>
              <c:layout>
                <c:manualLayout>
                  <c:xMode val="edge"/>
                  <c:yMode val="edge"/>
                  <c:x val="0.61264181523502936"/>
                  <c:y val="0.55952380952380965"/>
                </c:manualLayout>
              </c:layout>
              <c:dLblPos val="r"/>
              <c:showLegendKey val="0"/>
              <c:showVal val="1"/>
              <c:showCatName val="0"/>
              <c:showSerName val="0"/>
              <c:showPercent val="0"/>
              <c:showBubbleSize val="0"/>
            </c:dLbl>
            <c:spPr>
              <a:noFill/>
              <a:ln w="25376">
                <a:noFill/>
              </a:ln>
            </c:spPr>
            <c:txPr>
              <a:bodyPr/>
              <a:lstStyle/>
              <a:p>
                <a:pPr>
                  <a:defRPr sz="1000" b="1" i="0" u="none" strike="noStrike" baseline="0">
                    <a:solidFill>
                      <a:srgbClr val="000000"/>
                    </a:solidFill>
                    <a:latin typeface="Arial" pitchFamily="34" charset="0"/>
                    <a:ea typeface="Times New Roman Cyr"/>
                    <a:cs typeface="Times New Roman Cyr"/>
                  </a:defRPr>
                </a:pPr>
                <a:endParaRPr lang="ru-RU"/>
              </a:p>
            </c:txPr>
            <c:showLegendKey val="0"/>
            <c:showVal val="1"/>
            <c:showCatName val="0"/>
            <c:showSerName val="0"/>
            <c:showPercent val="0"/>
            <c:showBubbleSize val="0"/>
            <c:showLeaderLines val="0"/>
          </c:dLbls>
          <c:cat>
            <c:numRef>
              <c:f>Sheet1!$B$1:$H$1</c:f>
              <c:numCache>
                <c:formatCode>General</c:formatCode>
                <c:ptCount val="7"/>
                <c:pt idx="0">
                  <c:v>1945</c:v>
                </c:pt>
                <c:pt idx="1">
                  <c:v>1960</c:v>
                </c:pt>
                <c:pt idx="2">
                  <c:v>1970</c:v>
                </c:pt>
                <c:pt idx="3">
                  <c:v>1980</c:v>
                </c:pt>
                <c:pt idx="4">
                  <c:v>1990</c:v>
                </c:pt>
                <c:pt idx="5">
                  <c:v>2000</c:v>
                </c:pt>
                <c:pt idx="6">
                  <c:v>2011</c:v>
                </c:pt>
              </c:numCache>
            </c:numRef>
          </c:cat>
          <c:val>
            <c:numRef>
              <c:f>Sheet1!$B$4:$H$4</c:f>
              <c:numCache>
                <c:formatCode>General</c:formatCode>
                <c:ptCount val="7"/>
                <c:pt idx="0">
                  <c:v>417.1</c:v>
                </c:pt>
                <c:pt idx="1">
                  <c:v>784.6</c:v>
                </c:pt>
                <c:pt idx="2">
                  <c:v>755.9</c:v>
                </c:pt>
                <c:pt idx="3">
                  <c:v>622.20000000000005</c:v>
                </c:pt>
                <c:pt idx="4">
                  <c:v>526.6</c:v>
                </c:pt>
                <c:pt idx="5">
                  <c:v>71.5</c:v>
                </c:pt>
                <c:pt idx="6" formatCode="0.0">
                  <c:v>66.400000000000006</c:v>
                </c:pt>
              </c:numCache>
            </c:numRef>
          </c:val>
          <c:smooth val="0"/>
        </c:ser>
        <c:dLbls>
          <c:showLegendKey val="0"/>
          <c:showVal val="1"/>
          <c:showCatName val="0"/>
          <c:showSerName val="0"/>
          <c:showPercent val="0"/>
          <c:showBubbleSize val="0"/>
        </c:dLbls>
        <c:marker val="1"/>
        <c:smooth val="0"/>
        <c:axId val="336968320"/>
        <c:axId val="336978304"/>
      </c:lineChart>
      <c:catAx>
        <c:axId val="336968320"/>
        <c:scaling>
          <c:orientation val="minMax"/>
        </c:scaling>
        <c:delete val="0"/>
        <c:axPos val="b"/>
        <c:numFmt formatCode="General" sourceLinked="1"/>
        <c:majorTickMark val="cross"/>
        <c:minorTickMark val="none"/>
        <c:tickLblPos val="nextTo"/>
        <c:spPr>
          <a:ln w="3172">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6978304"/>
        <c:crosses val="autoZero"/>
        <c:auto val="0"/>
        <c:lblAlgn val="ctr"/>
        <c:lblOffset val="100"/>
        <c:tickLblSkip val="1"/>
        <c:tickMarkSkip val="1"/>
        <c:noMultiLvlLbl val="0"/>
      </c:catAx>
      <c:valAx>
        <c:axId val="336978304"/>
        <c:scaling>
          <c:orientation val="minMax"/>
          <c:max val="800"/>
          <c:min val="0"/>
        </c:scaling>
        <c:delete val="0"/>
        <c:axPos val="l"/>
        <c:numFmt formatCode="General" sourceLinked="1"/>
        <c:majorTickMark val="cross"/>
        <c:minorTickMark val="none"/>
        <c:tickLblPos val="nextTo"/>
        <c:spPr>
          <a:ln w="3172">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6968320"/>
        <c:crosses val="autoZero"/>
        <c:crossBetween val="midCat"/>
        <c:majorUnit val="200"/>
      </c:valAx>
      <c:spPr>
        <a:blipFill dpi="0" rotWithShape="1">
          <a:blip xmlns:r="http://schemas.openxmlformats.org/officeDocument/2006/relationships" r:embed="rId1">
            <a:alphaModFix amt="49000"/>
          </a:blip>
          <a:srcRect/>
          <a:tile tx="0" ty="0" sx="100000" sy="100000" flip="none" algn="tl"/>
        </a:blipFill>
        <a:ln w="25376">
          <a:noFill/>
        </a:ln>
      </c:spPr>
    </c:plotArea>
    <c:legend>
      <c:legendPos val="b"/>
      <c:layout>
        <c:manualLayout>
          <c:xMode val="edge"/>
          <c:yMode val="edge"/>
          <c:x val="0"/>
          <c:y val="0.9375"/>
          <c:w val="0.98703403565640191"/>
          <c:h val="6.5476190476190479E-2"/>
        </c:manualLayout>
      </c:layout>
      <c:overlay val="0"/>
      <c:spPr>
        <a:noFill/>
        <a:ln w="25376">
          <a:noFill/>
        </a:ln>
      </c:spPr>
      <c:txPr>
        <a:bodyPr/>
        <a:lstStyle/>
        <a:p>
          <a:pPr>
            <a:defRPr sz="1200" b="0" i="0" u="none" strike="noStrike" baseline="0">
              <a:solidFill>
                <a:srgbClr val="000000"/>
              </a:solidFill>
              <a:latin typeface="Arial"/>
              <a:ea typeface="Arial"/>
              <a:cs typeface="Arial"/>
            </a:defRPr>
          </a:pPr>
          <a:endParaRPr lang="ru-RU"/>
        </a:p>
      </c:txPr>
    </c:legend>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defRPr sz="1099"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444625496253416E-2"/>
          <c:y val="4.1496458641043434E-2"/>
          <c:w val="0.9251592356688072"/>
          <c:h val="0.71428571428571463"/>
        </c:manualLayout>
      </c:layout>
      <c:barChart>
        <c:barDir val="col"/>
        <c:grouping val="clustered"/>
        <c:varyColors val="0"/>
        <c:ser>
          <c:idx val="1"/>
          <c:order val="0"/>
          <c:tx>
            <c:strRef>
              <c:f>Sheet1!$B$1</c:f>
              <c:strCache>
                <c:ptCount val="1"/>
                <c:pt idx="0">
                  <c:v>Скот и птица (тыс. т)</c:v>
                </c:pt>
              </c:strCache>
            </c:strRef>
          </c:tx>
          <c:spPr>
            <a:gradFill rotWithShape="0">
              <a:gsLst>
                <a:gs pos="0">
                  <a:srgbClr val="993366"/>
                </a:gs>
                <a:gs pos="100000">
                  <a:srgbClr val="993366">
                    <a:gamma/>
                    <a:shade val="46275"/>
                    <a:invGamma/>
                  </a:srgbClr>
                </a:gs>
              </a:gsLst>
              <a:lin ang="5400000" scaled="1"/>
            </a:gradFill>
            <a:ln w="12686">
              <a:solidFill>
                <a:srgbClr val="000000"/>
              </a:solidFill>
              <a:prstDash val="solid"/>
            </a:ln>
            <a:scene3d>
              <a:camera prst="orthographicFront"/>
              <a:lightRig rig="threePt" dir="t"/>
            </a:scene3d>
            <a:sp3d>
              <a:bevelT prst="convex"/>
              <a:bevelB prst="convex"/>
            </a:sp3d>
          </c:spPr>
          <c:invertIfNegative val="0"/>
          <c:dLbls>
            <c:dLbl>
              <c:idx val="6"/>
              <c:tx>
                <c:rich>
                  <a:bodyPr/>
                  <a:lstStyle/>
                  <a:p>
                    <a:r>
                      <a:rPr lang="en-US"/>
                      <a:t>69</a:t>
                    </a:r>
                    <a:r>
                      <a:rPr lang="ru-RU"/>
                      <a:t>.0</a:t>
                    </a:r>
                    <a:endParaRPr lang="en-US"/>
                  </a:p>
                </c:rich>
              </c:tx>
              <c:showLegendKey val="0"/>
              <c:showVal val="1"/>
              <c:showCatName val="0"/>
              <c:showSerName val="0"/>
              <c:showPercent val="0"/>
              <c:showBubbleSize val="0"/>
            </c:dLbl>
            <c:txPr>
              <a:bodyPr/>
              <a:lstStyle/>
              <a:p>
                <a:pPr>
                  <a:defRPr sz="1000" b="1" i="0" baseline="0"/>
                </a:pPr>
                <a:endParaRPr lang="ru-RU"/>
              </a:p>
            </c:txPr>
            <c:showLegendKey val="0"/>
            <c:showVal val="1"/>
            <c:showCatName val="0"/>
            <c:showSerName val="0"/>
            <c:showPercent val="0"/>
            <c:showBubbleSize val="0"/>
            <c:showLeaderLines val="0"/>
          </c:dLbls>
          <c:cat>
            <c:numRef>
              <c:f>Sheet1!$A$2:$A$8</c:f>
              <c:numCache>
                <c:formatCode>General</c:formatCode>
                <c:ptCount val="7"/>
                <c:pt idx="0">
                  <c:v>1950</c:v>
                </c:pt>
                <c:pt idx="1">
                  <c:v>1960</c:v>
                </c:pt>
                <c:pt idx="2">
                  <c:v>1970</c:v>
                </c:pt>
                <c:pt idx="3">
                  <c:v>1980</c:v>
                </c:pt>
                <c:pt idx="4">
                  <c:v>1990</c:v>
                </c:pt>
                <c:pt idx="5">
                  <c:v>2000</c:v>
                </c:pt>
                <c:pt idx="6">
                  <c:v>2011</c:v>
                </c:pt>
              </c:numCache>
            </c:numRef>
          </c:cat>
          <c:val>
            <c:numRef>
              <c:f>Sheet1!$B$2:$B$8</c:f>
              <c:numCache>
                <c:formatCode>0.0</c:formatCode>
                <c:ptCount val="7"/>
                <c:pt idx="0">
                  <c:v>66.900000000000006</c:v>
                </c:pt>
                <c:pt idx="1">
                  <c:v>90</c:v>
                </c:pt>
                <c:pt idx="2" formatCode="General">
                  <c:v>122.2</c:v>
                </c:pt>
                <c:pt idx="3" formatCode="General">
                  <c:v>156.69999999999999</c:v>
                </c:pt>
                <c:pt idx="4" formatCode="General">
                  <c:v>200</c:v>
                </c:pt>
                <c:pt idx="5" formatCode="General">
                  <c:v>66.8</c:v>
                </c:pt>
                <c:pt idx="6" formatCode="General">
                  <c:v>69</c:v>
                </c:pt>
              </c:numCache>
            </c:numRef>
          </c:val>
        </c:ser>
        <c:ser>
          <c:idx val="2"/>
          <c:order val="2"/>
          <c:tx>
            <c:strRef>
              <c:f>Sheet1!$D$1</c:f>
              <c:strCache>
                <c:ptCount val="1"/>
                <c:pt idx="0">
                  <c:v>Яйца (млн. штук)</c:v>
                </c:pt>
              </c:strCache>
            </c:strRef>
          </c:tx>
          <c:spPr>
            <a:gradFill rotWithShape="0">
              <a:gsLst>
                <a:gs pos="0">
                  <a:srgbClr val="FFFFFF"/>
                </a:gs>
                <a:gs pos="100000">
                  <a:srgbClr val="CC99FF"/>
                </a:gs>
              </a:gsLst>
              <a:lin ang="5400000" scaled="1"/>
            </a:gradFill>
            <a:ln w="12686">
              <a:solidFill>
                <a:srgbClr val="000000"/>
              </a:solidFill>
              <a:prstDash val="solid"/>
            </a:ln>
            <a:scene3d>
              <a:camera prst="orthographicFront"/>
              <a:lightRig rig="threePt" dir="t"/>
            </a:scene3d>
            <a:sp3d>
              <a:bevelT prst="slope"/>
              <a:bevelB prst="slope"/>
            </a:sp3d>
          </c:spPr>
          <c:invertIfNegative val="0"/>
          <c:dLbls>
            <c:dLbl>
              <c:idx val="0"/>
              <c:layout>
                <c:manualLayout>
                  <c:x val="7.1031172393550279E-3"/>
                  <c:y val="-9.2517888916611897E-3"/>
                </c:manualLayout>
              </c:layout>
              <c:showLegendKey val="0"/>
              <c:showVal val="1"/>
              <c:showCatName val="0"/>
              <c:showSerName val="0"/>
              <c:showPercent val="0"/>
              <c:showBubbleSize val="0"/>
            </c:dLbl>
            <c:dLbl>
              <c:idx val="4"/>
              <c:layout>
                <c:manualLayout>
                  <c:x val="-2.4150598613807087E-2"/>
                  <c:y val="3.7007155566645501E-2"/>
                </c:manualLayout>
              </c:layout>
              <c:showLegendKey val="0"/>
              <c:showVal val="1"/>
              <c:showCatName val="0"/>
              <c:showSerName val="0"/>
              <c:showPercent val="0"/>
              <c:showBubbleSize val="0"/>
            </c:dLbl>
            <c:txPr>
              <a:bodyPr/>
              <a:lstStyle/>
              <a:p>
                <a:pPr>
                  <a:defRPr sz="1000" b="1" i="0" baseline="0"/>
                </a:pPr>
                <a:endParaRPr lang="ru-RU"/>
              </a:p>
            </c:txPr>
            <c:showLegendKey val="0"/>
            <c:showVal val="1"/>
            <c:showCatName val="0"/>
            <c:showSerName val="0"/>
            <c:showPercent val="0"/>
            <c:showBubbleSize val="0"/>
            <c:showLeaderLines val="0"/>
          </c:dLbls>
          <c:cat>
            <c:numRef>
              <c:f>Sheet1!$A$2:$A$8</c:f>
              <c:numCache>
                <c:formatCode>General</c:formatCode>
                <c:ptCount val="7"/>
                <c:pt idx="0">
                  <c:v>1950</c:v>
                </c:pt>
                <c:pt idx="1">
                  <c:v>1960</c:v>
                </c:pt>
                <c:pt idx="2">
                  <c:v>1970</c:v>
                </c:pt>
                <c:pt idx="3">
                  <c:v>1980</c:v>
                </c:pt>
                <c:pt idx="4">
                  <c:v>1990</c:v>
                </c:pt>
                <c:pt idx="5">
                  <c:v>2000</c:v>
                </c:pt>
                <c:pt idx="6">
                  <c:v>2011</c:v>
                </c:pt>
              </c:numCache>
            </c:numRef>
          </c:cat>
          <c:val>
            <c:numRef>
              <c:f>Sheet1!$D$2:$D$8</c:f>
              <c:numCache>
                <c:formatCode>0.0</c:formatCode>
                <c:ptCount val="7"/>
                <c:pt idx="0">
                  <c:v>59.1</c:v>
                </c:pt>
                <c:pt idx="1">
                  <c:v>214.7</c:v>
                </c:pt>
                <c:pt idx="2" formatCode="General">
                  <c:v>314.89999999999969</c:v>
                </c:pt>
                <c:pt idx="3" formatCode="General">
                  <c:v>572.20000000000005</c:v>
                </c:pt>
                <c:pt idx="4" formatCode="General">
                  <c:v>586.6</c:v>
                </c:pt>
                <c:pt idx="5" formatCode="General">
                  <c:v>417.4</c:v>
                </c:pt>
                <c:pt idx="6" formatCode="General">
                  <c:v>456.8</c:v>
                </c:pt>
              </c:numCache>
            </c:numRef>
          </c:val>
        </c:ser>
        <c:dLbls>
          <c:showLegendKey val="0"/>
          <c:showVal val="0"/>
          <c:showCatName val="0"/>
          <c:showSerName val="0"/>
          <c:showPercent val="0"/>
          <c:showBubbleSize val="0"/>
        </c:dLbls>
        <c:gapWidth val="150"/>
        <c:axId val="337027072"/>
        <c:axId val="337028608"/>
      </c:barChart>
      <c:lineChart>
        <c:grouping val="standard"/>
        <c:varyColors val="0"/>
        <c:ser>
          <c:idx val="0"/>
          <c:order val="1"/>
          <c:tx>
            <c:strRef>
              <c:f>Sheet1!$C$1</c:f>
              <c:strCache>
                <c:ptCount val="1"/>
                <c:pt idx="0">
                  <c:v>Молоко  (тыс. т)</c:v>
                </c:pt>
              </c:strCache>
            </c:strRef>
          </c:tx>
          <c:spPr>
            <a:ln w="34925">
              <a:solidFill>
                <a:srgbClr val="FF00FF"/>
              </a:solidFill>
              <a:prstDash val="solid"/>
            </a:ln>
          </c:spPr>
          <c:marker>
            <c:symbol val="diamond"/>
            <c:size val="9"/>
            <c:spPr>
              <a:solidFill>
                <a:srgbClr val="FF00FF"/>
              </a:solidFill>
              <a:ln>
                <a:solidFill>
                  <a:srgbClr val="FF00FF"/>
                </a:solidFill>
                <a:prstDash val="solid"/>
              </a:ln>
              <a:scene3d>
                <a:camera prst="orthographicFront"/>
                <a:lightRig rig="threePt" dir="t"/>
              </a:scene3d>
              <a:sp3d>
                <a:bevelT prst="angle"/>
              </a:sp3d>
            </c:spPr>
          </c:marker>
          <c:dLbls>
            <c:dLbl>
              <c:idx val="2"/>
              <c:layout>
                <c:manualLayout>
                  <c:x val="-1.5626857926581115E-2"/>
                  <c:y val="-5.0884838904136934E-2"/>
                </c:manualLayout>
              </c:layout>
              <c:showLegendKey val="0"/>
              <c:showVal val="1"/>
              <c:showCatName val="0"/>
              <c:showSerName val="0"/>
              <c:showPercent val="0"/>
              <c:showBubbleSize val="0"/>
            </c:dLbl>
            <c:dLbl>
              <c:idx val="3"/>
              <c:layout>
                <c:manualLayout>
                  <c:x val="-5.1142444123356223E-2"/>
                  <c:y val="4.1633050012475352E-2"/>
                </c:manualLayout>
              </c:layout>
              <c:showLegendKey val="0"/>
              <c:showVal val="1"/>
              <c:showCatName val="0"/>
              <c:showSerName val="0"/>
              <c:showPercent val="0"/>
              <c:showBubbleSize val="0"/>
            </c:dLbl>
            <c:dLbl>
              <c:idx val="4"/>
              <c:layout>
                <c:manualLayout>
                  <c:x val="2.8412468957420152E-3"/>
                  <c:y val="-2.7755366674984128E-2"/>
                </c:manualLayout>
              </c:layout>
              <c:showLegendKey val="0"/>
              <c:showVal val="1"/>
              <c:showCatName val="0"/>
              <c:showSerName val="0"/>
              <c:showPercent val="0"/>
              <c:showBubbleSize val="0"/>
            </c:dLbl>
            <c:dLbl>
              <c:idx val="5"/>
              <c:layout>
                <c:manualLayout>
                  <c:x val="-5.8245561362711307E-2"/>
                  <c:y val="0"/>
                </c:manualLayout>
              </c:layout>
              <c:showLegendKey val="0"/>
              <c:showVal val="1"/>
              <c:showCatName val="0"/>
              <c:showSerName val="0"/>
              <c:showPercent val="0"/>
              <c:showBubbleSize val="0"/>
            </c:dLbl>
            <c:dLbl>
              <c:idx val="6"/>
              <c:layout>
                <c:manualLayout>
                  <c:x val="-5.1136720667374055E-2"/>
                  <c:y val="-6.9388416687458904E-2"/>
                </c:manualLayout>
              </c:layout>
              <c:tx>
                <c:rich>
                  <a:bodyPr/>
                  <a:lstStyle/>
                  <a:p>
                    <a:r>
                      <a:rPr lang="en-US"/>
                      <a:t>261</a:t>
                    </a:r>
                    <a:r>
                      <a:rPr lang="ru-RU"/>
                      <a:t>.0</a:t>
                    </a:r>
                    <a:endParaRPr lang="en-US"/>
                  </a:p>
                </c:rich>
              </c:tx>
              <c:showLegendKey val="0"/>
              <c:showVal val="1"/>
              <c:showCatName val="0"/>
              <c:showSerName val="0"/>
              <c:showPercent val="0"/>
              <c:showBubbleSize val="0"/>
            </c:dLbl>
            <c:txPr>
              <a:bodyPr/>
              <a:lstStyle/>
              <a:p>
                <a:pPr>
                  <a:defRPr sz="1000" b="1" i="0" baseline="0"/>
                </a:pPr>
                <a:endParaRPr lang="ru-RU"/>
              </a:p>
            </c:txPr>
            <c:showLegendKey val="0"/>
            <c:showVal val="1"/>
            <c:showCatName val="0"/>
            <c:showSerName val="0"/>
            <c:showPercent val="0"/>
            <c:showBubbleSize val="0"/>
            <c:showLeaderLines val="0"/>
          </c:dLbls>
          <c:cat>
            <c:numRef>
              <c:f>Sheet1!$A$2:$A$8</c:f>
              <c:numCache>
                <c:formatCode>General</c:formatCode>
                <c:ptCount val="7"/>
                <c:pt idx="0">
                  <c:v>1950</c:v>
                </c:pt>
                <c:pt idx="1">
                  <c:v>1960</c:v>
                </c:pt>
                <c:pt idx="2">
                  <c:v>1970</c:v>
                </c:pt>
                <c:pt idx="3">
                  <c:v>1980</c:v>
                </c:pt>
                <c:pt idx="4">
                  <c:v>1990</c:v>
                </c:pt>
                <c:pt idx="5">
                  <c:v>2000</c:v>
                </c:pt>
                <c:pt idx="6">
                  <c:v>2011</c:v>
                </c:pt>
              </c:numCache>
            </c:numRef>
          </c:cat>
          <c:val>
            <c:numRef>
              <c:f>Sheet1!$C$2:$C$8</c:f>
              <c:numCache>
                <c:formatCode>0.0</c:formatCode>
                <c:ptCount val="7"/>
                <c:pt idx="0">
                  <c:v>259.8</c:v>
                </c:pt>
                <c:pt idx="1">
                  <c:v>408.4</c:v>
                </c:pt>
                <c:pt idx="2" formatCode="General">
                  <c:v>578.1</c:v>
                </c:pt>
                <c:pt idx="3" formatCode="General">
                  <c:v>533.9</c:v>
                </c:pt>
                <c:pt idx="4" formatCode="General">
                  <c:v>676.6</c:v>
                </c:pt>
                <c:pt idx="5" formatCode="General">
                  <c:v>354.9</c:v>
                </c:pt>
                <c:pt idx="6" formatCode="General">
                  <c:v>261</c:v>
                </c:pt>
              </c:numCache>
            </c:numRef>
          </c:val>
          <c:smooth val="0"/>
        </c:ser>
        <c:dLbls>
          <c:showLegendKey val="0"/>
          <c:showVal val="0"/>
          <c:showCatName val="0"/>
          <c:showSerName val="0"/>
          <c:showPercent val="0"/>
          <c:showBubbleSize val="0"/>
        </c:dLbls>
        <c:marker val="1"/>
        <c:smooth val="0"/>
        <c:axId val="337030144"/>
        <c:axId val="337122048"/>
      </c:lineChart>
      <c:catAx>
        <c:axId val="337027072"/>
        <c:scaling>
          <c:orientation val="minMax"/>
        </c:scaling>
        <c:delete val="0"/>
        <c:axPos val="b"/>
        <c:numFmt formatCode="General" sourceLinked="1"/>
        <c:majorTickMark val="cross"/>
        <c:minorTickMark val="none"/>
        <c:tickLblPos val="nextTo"/>
        <c:spPr>
          <a:ln w="3171">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028608"/>
        <c:crosses val="autoZero"/>
        <c:auto val="0"/>
        <c:lblAlgn val="ctr"/>
        <c:lblOffset val="100"/>
        <c:tickLblSkip val="1"/>
        <c:tickMarkSkip val="1"/>
        <c:noMultiLvlLbl val="0"/>
      </c:catAx>
      <c:valAx>
        <c:axId val="337028608"/>
        <c:scaling>
          <c:orientation val="minMax"/>
          <c:max val="700"/>
        </c:scaling>
        <c:delete val="0"/>
        <c:axPos val="l"/>
        <c:majorGridlines>
          <c:spPr>
            <a:ln w="12686">
              <a:solidFill>
                <a:srgbClr val="C0C0C0"/>
              </a:solidFill>
              <a:prstDash val="solid"/>
            </a:ln>
          </c:spPr>
        </c:majorGridlines>
        <c:numFmt formatCode="0" sourceLinked="0"/>
        <c:majorTickMark val="cross"/>
        <c:minorTickMark val="none"/>
        <c:tickLblPos val="nextTo"/>
        <c:spPr>
          <a:ln w="3171">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027072"/>
        <c:crosses val="autoZero"/>
        <c:crossBetween val="between"/>
      </c:valAx>
      <c:catAx>
        <c:axId val="337030144"/>
        <c:scaling>
          <c:orientation val="minMax"/>
        </c:scaling>
        <c:delete val="1"/>
        <c:axPos val="b"/>
        <c:numFmt formatCode="General" sourceLinked="1"/>
        <c:majorTickMark val="out"/>
        <c:minorTickMark val="none"/>
        <c:tickLblPos val="nextTo"/>
        <c:crossAx val="337122048"/>
        <c:crosses val="autoZero"/>
        <c:auto val="0"/>
        <c:lblAlgn val="ctr"/>
        <c:lblOffset val="100"/>
        <c:noMultiLvlLbl val="0"/>
      </c:catAx>
      <c:valAx>
        <c:axId val="337122048"/>
        <c:scaling>
          <c:orientation val="minMax"/>
        </c:scaling>
        <c:delete val="1"/>
        <c:axPos val="l"/>
        <c:numFmt formatCode="0.0" sourceLinked="1"/>
        <c:majorTickMark val="out"/>
        <c:minorTickMark val="none"/>
        <c:tickLblPos val="nextTo"/>
        <c:crossAx val="337030144"/>
        <c:crosses val="autoZero"/>
        <c:crossBetween val="between"/>
      </c:valAx>
      <c:spPr>
        <a:gradFill>
          <a:gsLst>
            <a:gs pos="0">
              <a:srgbClr val="FFEFD1"/>
            </a:gs>
            <a:gs pos="64999">
              <a:srgbClr val="F0EBD5"/>
            </a:gs>
            <a:gs pos="100000">
              <a:srgbClr val="D1C39F"/>
            </a:gs>
          </a:gsLst>
          <a:lin ang="5400000" scaled="0"/>
        </a:gradFill>
        <a:ln w="25371">
          <a:noFill/>
        </a:ln>
      </c:spPr>
    </c:plotArea>
    <c:legend>
      <c:legendPos val="b"/>
      <c:layout>
        <c:manualLayout>
          <c:xMode val="edge"/>
          <c:yMode val="edge"/>
          <c:x val="1.4331210191082799E-2"/>
          <c:y val="0.88571428571428557"/>
          <c:w val="0.98566878980890316"/>
          <c:h val="0.10285714285714286"/>
        </c:manualLayout>
      </c:layout>
      <c:overlay val="0"/>
      <c:spPr>
        <a:solidFill>
          <a:srgbClr val="FFFFFF"/>
        </a:solidFill>
        <a:ln w="25371">
          <a:noFill/>
        </a:ln>
      </c:spPr>
      <c:txPr>
        <a:bodyPr/>
        <a:lstStyle/>
        <a:p>
          <a:pPr>
            <a:defRPr sz="1200" b="0" i="0" u="none" strike="noStrike" baseline="0">
              <a:solidFill>
                <a:srgbClr val="000000"/>
              </a:solidFill>
              <a:latin typeface="Arial"/>
              <a:ea typeface="Arial"/>
              <a:cs typeface="Arial"/>
            </a:defRPr>
          </a:pPr>
          <a:endParaRPr lang="ru-RU"/>
        </a:p>
      </c:txPr>
    </c:legend>
    <c:plotVisOnly val="1"/>
    <c:dispBlanksAs val="gap"/>
    <c:showDLblsOverMax val="0"/>
  </c:chart>
  <c:spPr>
    <a:noFill/>
    <a:ln w="38100" cap="flat" cmpd="dbl" algn="ctr">
      <a:solidFill>
        <a:srgbClr val="000000"/>
      </a:solidFill>
      <a:prstDash val="solid"/>
      <a:miter lim="800000"/>
      <a:headEnd type="none" w="med" len="med"/>
      <a:tailEnd type="none" w="med" len="med"/>
    </a:ln>
  </c:spPr>
  <c:txPr>
    <a:bodyPr/>
    <a:lstStyle/>
    <a:p>
      <a:pPr>
        <a:defRPr sz="999" b="0" i="0" u="none" strike="noStrike" baseline="0">
          <a:solidFill>
            <a:srgbClr val="000000"/>
          </a:solidFill>
          <a:latin typeface="Arial"/>
          <a:ea typeface="Arial"/>
          <a:cs typeface="Arial"/>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236396605539968E-2"/>
          <c:y val="2.6881669731403452E-2"/>
          <c:w val="0.89046167740588233"/>
          <c:h val="0.75970115280393136"/>
        </c:manualLayout>
      </c:layout>
      <c:barChart>
        <c:barDir val="col"/>
        <c:grouping val="clustered"/>
        <c:varyColors val="0"/>
        <c:ser>
          <c:idx val="0"/>
          <c:order val="0"/>
          <c:tx>
            <c:strRef>
              <c:f>Sheet1!$B$1</c:f>
              <c:strCache>
                <c:ptCount val="1"/>
              </c:strCache>
            </c:strRef>
          </c:tx>
          <c:spPr>
            <a:blipFill dpi="0" rotWithShape="0">
              <a:blip xmlns:r="http://schemas.openxmlformats.org/officeDocument/2006/relationships" r:embed="rId1"/>
              <a:srcRect/>
              <a:tile tx="0" ty="0" sx="100000" sy="100000" flip="none" algn="tl"/>
            </a:blipFill>
            <a:ln w="12784">
              <a:solidFill>
                <a:srgbClr val="000000"/>
              </a:solidFill>
              <a:prstDash val="solid"/>
            </a:ln>
            <a:scene3d>
              <a:camera prst="orthographicFront"/>
              <a:lightRig rig="threePt" dir="t"/>
            </a:scene3d>
            <a:sp3d>
              <a:bevelT/>
              <a:bevelB/>
            </a:sp3d>
          </c:spPr>
          <c:invertIfNegative val="0"/>
          <c:dLbls>
            <c:dLbl>
              <c:idx val="8"/>
              <c:layout>
                <c:manualLayout>
                  <c:x val="4.8426972679838427E-2"/>
                  <c:y val="4.7273521368624304E-2"/>
                </c:manualLayout>
              </c:layout>
              <c:showLegendKey val="0"/>
              <c:showVal val="1"/>
              <c:showCatName val="0"/>
              <c:showSerName val="0"/>
              <c:showPercent val="0"/>
              <c:showBubbleSize val="0"/>
            </c:dLbl>
            <c:numFmt formatCode="#,##0.0" sourceLinked="0"/>
            <c:spPr>
              <a:noFill/>
              <a:ln w="25567">
                <a:noFill/>
              </a:ln>
            </c:spPr>
            <c:txPr>
              <a:bodyPr/>
              <a:lstStyle/>
              <a:p>
                <a:pPr>
                  <a:defRPr sz="1006"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Sheet1!$A$2:$A$15</c:f>
              <c:strCache>
                <c:ptCount val="14"/>
                <c:pt idx="0">
                  <c:v>1946-1950</c:v>
                </c:pt>
                <c:pt idx="1">
                  <c:v>1951-1955</c:v>
                </c:pt>
                <c:pt idx="2">
                  <c:v>1956-1960</c:v>
                </c:pt>
                <c:pt idx="3">
                  <c:v>1961-1965</c:v>
                </c:pt>
                <c:pt idx="4">
                  <c:v>1966-1970</c:v>
                </c:pt>
                <c:pt idx="5">
                  <c:v>1971-1975</c:v>
                </c:pt>
                <c:pt idx="6">
                  <c:v>1976-1980</c:v>
                </c:pt>
                <c:pt idx="7">
                  <c:v>1981-1985</c:v>
                </c:pt>
                <c:pt idx="8">
                  <c:v>1986-1990</c:v>
                </c:pt>
                <c:pt idx="9">
                  <c:v>1991-1995</c:v>
                </c:pt>
                <c:pt idx="10">
                  <c:v>1996-2000</c:v>
                </c:pt>
                <c:pt idx="11">
                  <c:v>2001-2005</c:v>
                </c:pt>
                <c:pt idx="12">
                  <c:v>2006-2010</c:v>
                </c:pt>
                <c:pt idx="13">
                  <c:v>2011</c:v>
                </c:pt>
              </c:strCache>
            </c:strRef>
          </c:cat>
          <c:val>
            <c:numRef>
              <c:f>Sheet1!$B$2:$B$15</c:f>
              <c:numCache>
                <c:formatCode>General</c:formatCode>
                <c:ptCount val="14"/>
                <c:pt idx="0">
                  <c:v>126.5</c:v>
                </c:pt>
                <c:pt idx="1">
                  <c:v>218.9</c:v>
                </c:pt>
                <c:pt idx="2">
                  <c:v>406.7</c:v>
                </c:pt>
                <c:pt idx="3">
                  <c:v>423.4</c:v>
                </c:pt>
                <c:pt idx="4">
                  <c:v>551.5</c:v>
                </c:pt>
                <c:pt idx="5">
                  <c:v>501.2</c:v>
                </c:pt>
                <c:pt idx="6">
                  <c:v>504.5</c:v>
                </c:pt>
                <c:pt idx="7">
                  <c:v>684.4</c:v>
                </c:pt>
                <c:pt idx="8">
                  <c:v>861.5</c:v>
                </c:pt>
                <c:pt idx="9">
                  <c:v>450.1</c:v>
                </c:pt>
                <c:pt idx="10">
                  <c:v>270</c:v>
                </c:pt>
                <c:pt idx="11">
                  <c:v>210.9</c:v>
                </c:pt>
                <c:pt idx="12">
                  <c:v>455.1</c:v>
                </c:pt>
                <c:pt idx="13">
                  <c:v>553.79999999999995</c:v>
                </c:pt>
              </c:numCache>
            </c:numRef>
          </c:val>
        </c:ser>
        <c:dLbls>
          <c:showLegendKey val="0"/>
          <c:showVal val="1"/>
          <c:showCatName val="0"/>
          <c:showSerName val="0"/>
          <c:showPercent val="0"/>
          <c:showBubbleSize val="0"/>
        </c:dLbls>
        <c:gapWidth val="68"/>
        <c:axId val="337132928"/>
        <c:axId val="337176832"/>
      </c:barChart>
      <c:catAx>
        <c:axId val="337132928"/>
        <c:scaling>
          <c:orientation val="minMax"/>
        </c:scaling>
        <c:delete val="0"/>
        <c:axPos val="b"/>
        <c:numFmt formatCode="General" sourceLinked="1"/>
        <c:majorTickMark val="out"/>
        <c:minorTickMark val="none"/>
        <c:tickLblPos val="nextTo"/>
        <c:spPr>
          <a:ln w="3196">
            <a:solidFill>
              <a:srgbClr val="000000"/>
            </a:solidFill>
            <a:prstDash val="solid"/>
          </a:ln>
        </c:spPr>
        <c:txPr>
          <a:bodyPr rot="-5400000" vert="horz"/>
          <a:lstStyle/>
          <a:p>
            <a:pPr>
              <a:defRPr sz="1100" b="0" i="0" u="none" strike="noStrike" baseline="0">
                <a:solidFill>
                  <a:srgbClr val="000000"/>
                </a:solidFill>
                <a:latin typeface="Arial"/>
                <a:ea typeface="Arial"/>
                <a:cs typeface="Arial"/>
              </a:defRPr>
            </a:pPr>
            <a:endParaRPr lang="ru-RU"/>
          </a:p>
        </c:txPr>
        <c:crossAx val="337176832"/>
        <c:crosses val="autoZero"/>
        <c:auto val="1"/>
        <c:lblAlgn val="ctr"/>
        <c:lblOffset val="100"/>
        <c:tickLblSkip val="1"/>
        <c:tickMarkSkip val="1"/>
        <c:noMultiLvlLbl val="0"/>
      </c:catAx>
      <c:valAx>
        <c:axId val="337176832"/>
        <c:scaling>
          <c:orientation val="minMax"/>
          <c:max val="900"/>
          <c:min val="0"/>
        </c:scaling>
        <c:delete val="0"/>
        <c:axPos val="l"/>
        <c:majorGridlines>
          <c:spPr>
            <a:ln w="12784">
              <a:solidFill>
                <a:srgbClr val="C0C0C0"/>
              </a:solidFill>
              <a:prstDash val="solid"/>
            </a:ln>
          </c:spPr>
        </c:majorGridlines>
        <c:title>
          <c:tx>
            <c:rich>
              <a:bodyPr rot="-5400000" vert="horz"/>
              <a:lstStyle/>
              <a:p>
                <a:pPr algn="ctr">
                  <a:defRPr sz="1006" b="0" i="0" u="none" strike="noStrike" baseline="0">
                    <a:solidFill>
                      <a:srgbClr val="000000"/>
                    </a:solidFill>
                    <a:latin typeface="Arial"/>
                    <a:ea typeface="Arial"/>
                    <a:cs typeface="Arial"/>
                  </a:defRPr>
                </a:pPr>
                <a:r>
                  <a:rPr lang="ru-RU"/>
                  <a:t>тыс.кв.метров</a:t>
                </a:r>
              </a:p>
            </c:rich>
          </c:tx>
          <c:layout>
            <c:manualLayout>
              <c:xMode val="edge"/>
              <c:yMode val="edge"/>
              <c:x val="7.5474898628052674E-3"/>
              <c:y val="0.31830837721541111"/>
            </c:manualLayout>
          </c:layout>
          <c:overlay val="0"/>
          <c:spPr>
            <a:noFill/>
            <a:ln w="25567">
              <a:noFill/>
            </a:ln>
          </c:spPr>
        </c:title>
        <c:numFmt formatCode="General" sourceLinked="1"/>
        <c:majorTickMark val="out"/>
        <c:minorTickMark val="none"/>
        <c:tickLblPos val="nextTo"/>
        <c:spPr>
          <a:ln w="3196">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ru-RU"/>
          </a:p>
        </c:txPr>
        <c:crossAx val="337132928"/>
        <c:crosses val="autoZero"/>
        <c:crossBetween val="between"/>
        <c:majorUnit val="100"/>
      </c:valAx>
      <c:spPr>
        <a:gradFill rotWithShape="0">
          <a:gsLst>
            <a:gs pos="0">
              <a:srgbClr val="FFFFFF"/>
            </a:gs>
            <a:gs pos="100000">
              <a:srgbClr val="FFFF99"/>
            </a:gs>
          </a:gsLst>
          <a:lin ang="5400000" scaled="1"/>
        </a:gradFill>
        <a:ln w="12784">
          <a:solidFill>
            <a:srgbClr val="C0C0C0"/>
          </a:solidFill>
          <a:prstDash val="solid"/>
        </a:ln>
      </c:spPr>
    </c:plotArea>
    <c:plotVisOnly val="1"/>
    <c:dispBlanksAs val="gap"/>
    <c:showDLblsOverMax val="0"/>
  </c:chart>
  <c:spPr>
    <a:noFill/>
    <a:ln w="38342" cap="flat" cmpd="dbl" algn="ctr">
      <a:solidFill>
        <a:srgbClr val="000000"/>
      </a:solidFill>
      <a:prstDash val="solid"/>
      <a:miter lim="800000"/>
      <a:headEnd type="none" w="med" len="med"/>
      <a:tailEnd type="none" w="med" len="med"/>
    </a:ln>
  </c:spPr>
  <c:txPr>
    <a:bodyPr/>
    <a:lstStyle/>
    <a:p>
      <a:pPr>
        <a:defRPr sz="1208" b="1" i="0" u="none" strike="noStrike" baseline="0">
          <a:solidFill>
            <a:srgbClr val="000000"/>
          </a:solidFill>
          <a:latin typeface="Arial Cyr"/>
          <a:ea typeface="Arial Cyr"/>
          <a:cs typeface="Arial Cyr"/>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0.50725</cdr:x>
      <cdr:y>0.0495</cdr:y>
    </cdr:from>
    <cdr:to>
      <cdr:x>0.50725</cdr:x>
      <cdr:y>0.904</cdr:y>
    </cdr:to>
    <cdr:sp macro="" textlink="">
      <cdr:nvSpPr>
        <cdr:cNvPr id="1025" name="Line 1"/>
        <cdr:cNvSpPr>
          <a:spLocks xmlns:a="http://schemas.openxmlformats.org/drawingml/2006/main" noChangeShapeType="1"/>
        </cdr:cNvSpPr>
      </cdr:nvSpPr>
      <cdr:spPr bwMode="auto">
        <a:xfrm xmlns:a="http://schemas.openxmlformats.org/drawingml/2006/main">
          <a:off x="2237011" y="133431"/>
          <a:ext cx="0" cy="2303369"/>
        </a:xfrm>
        <a:prstGeom xmlns:a="http://schemas.openxmlformats.org/drawingml/2006/main" prst="line">
          <a:avLst/>
        </a:prstGeom>
        <a:noFill xmlns:a="http://schemas.openxmlformats.org/drawingml/2006/main"/>
        <a:ln xmlns:a="http://schemas.openxmlformats.org/drawingml/2006/main" w="25400">
          <a:solidFill>
            <a:srgbClr val="000000"/>
          </a:solidFill>
          <a:round/>
          <a:headEnd/>
          <a:tailEnd/>
        </a:ln>
      </cdr:spPr>
    </cdr:sp>
  </cdr:relSizeAnchor>
</c:userShapes>
</file>

<file path=word/drawings/drawing2.xml><?xml version="1.0" encoding="utf-8"?>
<c:userShapes xmlns:c="http://schemas.openxmlformats.org/drawingml/2006/chart">
  <cdr:relSizeAnchor xmlns:cdr="http://schemas.openxmlformats.org/drawingml/2006/chartDrawing">
    <cdr:from>
      <cdr:x>0.27325</cdr:x>
      <cdr:y>0.04134</cdr:y>
    </cdr:from>
    <cdr:to>
      <cdr:x>0.27325</cdr:x>
      <cdr:y>0.81559</cdr:y>
    </cdr:to>
    <cdr:sp macro="" textlink="">
      <cdr:nvSpPr>
        <cdr:cNvPr id="1025" name="Line 1"/>
        <cdr:cNvSpPr>
          <a:spLocks xmlns:a="http://schemas.openxmlformats.org/drawingml/2006/main" noChangeShapeType="1"/>
        </cdr:cNvSpPr>
      </cdr:nvSpPr>
      <cdr:spPr bwMode="auto">
        <a:xfrm xmlns:a="http://schemas.openxmlformats.org/drawingml/2006/main">
          <a:off x="1875263" y="229996"/>
          <a:ext cx="0" cy="4307464"/>
        </a:xfrm>
        <a:prstGeom xmlns:a="http://schemas.openxmlformats.org/drawingml/2006/main" prst="line">
          <a:avLst/>
        </a:prstGeom>
        <a:noFill xmlns:a="http://schemas.openxmlformats.org/drawingml/2006/main"/>
        <a:ln xmlns:a="http://schemas.openxmlformats.org/drawingml/2006/main" w="19050">
          <a:solidFill>
            <a:srgbClr val="000000"/>
          </a:solidFill>
          <a:round/>
          <a:headEnd/>
          <a:tailEnd/>
        </a:ln>
      </cdr:spPr>
    </cdr:sp>
  </cdr:relSizeAnchor>
</c:userShapes>
</file>

<file path=word/drawings/drawing3.xml><?xml version="1.0" encoding="utf-8"?>
<c:userShapes xmlns:c="http://schemas.openxmlformats.org/drawingml/2006/chart">
  <cdr:relSizeAnchor xmlns:cdr="http://schemas.openxmlformats.org/drawingml/2006/chartDrawing">
    <cdr:from>
      <cdr:x>0.96231</cdr:x>
      <cdr:y>0.04167</cdr:y>
    </cdr:from>
    <cdr:to>
      <cdr:x>0.99222</cdr:x>
      <cdr:y>0.82122</cdr:y>
    </cdr:to>
    <cdr:sp macro="" textlink="">
      <cdr:nvSpPr>
        <cdr:cNvPr id="6" name="Поле 5"/>
        <cdr:cNvSpPr txBox="1"/>
      </cdr:nvSpPr>
      <cdr:spPr>
        <a:xfrm xmlns:a="http://schemas.openxmlformats.org/drawingml/2006/main">
          <a:off x="5883965" y="135172"/>
          <a:ext cx="182880" cy="2528515"/>
        </a:xfrm>
        <a:prstGeom xmlns:a="http://schemas.openxmlformats.org/drawingml/2006/main" prst="rect">
          <a:avLst/>
        </a:prstGeom>
      </cdr:spPr>
      <cdr:txBody>
        <a:bodyPr xmlns:a="http://schemas.openxmlformats.org/drawingml/2006/main" vertOverflow="clip" vert="vert" wrap="square" lIns="36000" tIns="36000" rIns="36000" bIns="36000" rtlCol="0"/>
        <a:lstStyle xmlns:a="http://schemas.openxmlformats.org/drawingml/2006/main"/>
        <a:p xmlns:a="http://schemas.openxmlformats.org/drawingml/2006/main">
          <a:pPr algn="ctr"/>
          <a:endParaRPr lang="ru-RU" sz="900" i="1">
            <a:latin typeface="Arial" pitchFamily="34" charset="0"/>
            <a:cs typeface="Arial" pitchFamily="34"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B93F1-FE66-46E3-9E91-F705F9CDB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5188</TotalTime>
  <Pages>1</Pages>
  <Words>28469</Words>
  <Characters>162279</Characters>
  <Application>Microsoft Office Word</Application>
  <DocSecurity>0</DocSecurity>
  <Lines>1352</Lines>
  <Paragraphs>380</Paragraphs>
  <ScaleCrop>false</ScaleCrop>
  <HeadingPairs>
    <vt:vector size="2" baseType="variant">
      <vt:variant>
        <vt:lpstr>Название</vt:lpstr>
      </vt:variant>
      <vt:variant>
        <vt:i4>1</vt:i4>
      </vt:variant>
    </vt:vector>
  </HeadingPairs>
  <TitlesOfParts>
    <vt:vector size="1" baseType="lpstr">
      <vt:lpstr>ЧИСЛО ПРОМЫШЛЕННЫХ ПРЕДПРИЯТИЙ </vt:lpstr>
    </vt:vector>
  </TitlesOfParts>
  <Company>Ульяновский облкомстат</Company>
  <LinksUpToDate>false</LinksUpToDate>
  <CharactersWithSpaces>190368</CharactersWithSpaces>
  <SharedDoc>false</SharedDoc>
  <HLinks>
    <vt:vector size="180" baseType="variant">
      <vt:variant>
        <vt:i4>4063297</vt:i4>
      </vt:variant>
      <vt:variant>
        <vt:i4>153</vt:i4>
      </vt:variant>
      <vt:variant>
        <vt:i4>0</vt:i4>
      </vt:variant>
      <vt:variant>
        <vt:i4>5</vt:i4>
      </vt:variant>
      <vt:variant>
        <vt:lpwstr>mailto:ulobl@statcom.mv.ru</vt:lpwstr>
      </vt:variant>
      <vt:variant>
        <vt:lpwstr/>
      </vt:variant>
      <vt:variant>
        <vt:i4>8060966</vt:i4>
      </vt:variant>
      <vt:variant>
        <vt:i4>138</vt:i4>
      </vt:variant>
      <vt:variant>
        <vt:i4>0</vt:i4>
      </vt:variant>
      <vt:variant>
        <vt:i4>5</vt:i4>
      </vt:variant>
      <vt:variant>
        <vt:lpwstr>http://ru.wikipedia.org/wiki/%D0%A5%D0%B8%D1%82%D1%80%D0%BE%D0%B2%D0%BE,_%D0%91%D0%BE%D0%B3%D0%B4%D0%B0%D0%BD_%D0%9C%D0%B0%D1%82%D0%B2%D0%B5%D0%B5%D0%B2%D0%B8%D1%87</vt:lpwstr>
      </vt:variant>
      <vt:variant>
        <vt:lpwstr/>
      </vt:variant>
      <vt:variant>
        <vt:i4>8192015</vt:i4>
      </vt:variant>
      <vt:variant>
        <vt:i4>135</vt:i4>
      </vt:variant>
      <vt:variant>
        <vt:i4>0</vt:i4>
      </vt:variant>
      <vt:variant>
        <vt:i4>5</vt:i4>
      </vt:variant>
      <vt:variant>
        <vt:lpwstr>http://ru.wikipedia.org/wiki/%D0%90%D0%BB%D0%B5%D0%BA%D1%81%D0%B5%D0%B9_%D0%9C%D0%B8%D1%85%D0%B0%D0%B9%D0%BB%D0%BE%D0%B2%D0%B8%D1%87</vt:lpwstr>
      </vt:variant>
      <vt:variant>
        <vt:lpwstr/>
      </vt:variant>
      <vt:variant>
        <vt:i4>7405655</vt:i4>
      </vt:variant>
      <vt:variant>
        <vt:i4>132</vt:i4>
      </vt:variant>
      <vt:variant>
        <vt:i4>0</vt:i4>
      </vt:variant>
      <vt:variant>
        <vt:i4>5</vt:i4>
      </vt:variant>
      <vt:variant>
        <vt:lpwstr>http://ru.wikipedia.org/wiki/1648_%D0%B3%D0%BE%D0%B4</vt:lpwstr>
      </vt:variant>
      <vt:variant>
        <vt:lpwstr/>
      </vt:variant>
      <vt:variant>
        <vt:i4>1376310</vt:i4>
      </vt:variant>
      <vt:variant>
        <vt:i4>125</vt:i4>
      </vt:variant>
      <vt:variant>
        <vt:i4>0</vt:i4>
      </vt:variant>
      <vt:variant>
        <vt:i4>5</vt:i4>
      </vt:variant>
      <vt:variant>
        <vt:lpwstr/>
      </vt:variant>
      <vt:variant>
        <vt:lpwstr>_Toc260230760</vt:lpwstr>
      </vt:variant>
      <vt:variant>
        <vt:i4>1441846</vt:i4>
      </vt:variant>
      <vt:variant>
        <vt:i4>119</vt:i4>
      </vt:variant>
      <vt:variant>
        <vt:i4>0</vt:i4>
      </vt:variant>
      <vt:variant>
        <vt:i4>5</vt:i4>
      </vt:variant>
      <vt:variant>
        <vt:lpwstr/>
      </vt:variant>
      <vt:variant>
        <vt:lpwstr>_Toc260230759</vt:lpwstr>
      </vt:variant>
      <vt:variant>
        <vt:i4>1441846</vt:i4>
      </vt:variant>
      <vt:variant>
        <vt:i4>113</vt:i4>
      </vt:variant>
      <vt:variant>
        <vt:i4>0</vt:i4>
      </vt:variant>
      <vt:variant>
        <vt:i4>5</vt:i4>
      </vt:variant>
      <vt:variant>
        <vt:lpwstr/>
      </vt:variant>
      <vt:variant>
        <vt:lpwstr>_Toc260230758</vt:lpwstr>
      </vt:variant>
      <vt:variant>
        <vt:i4>1441846</vt:i4>
      </vt:variant>
      <vt:variant>
        <vt:i4>107</vt:i4>
      </vt:variant>
      <vt:variant>
        <vt:i4>0</vt:i4>
      </vt:variant>
      <vt:variant>
        <vt:i4>5</vt:i4>
      </vt:variant>
      <vt:variant>
        <vt:lpwstr/>
      </vt:variant>
      <vt:variant>
        <vt:lpwstr>_Toc260230757</vt:lpwstr>
      </vt:variant>
      <vt:variant>
        <vt:i4>1441846</vt:i4>
      </vt:variant>
      <vt:variant>
        <vt:i4>101</vt:i4>
      </vt:variant>
      <vt:variant>
        <vt:i4>0</vt:i4>
      </vt:variant>
      <vt:variant>
        <vt:i4>5</vt:i4>
      </vt:variant>
      <vt:variant>
        <vt:lpwstr/>
      </vt:variant>
      <vt:variant>
        <vt:lpwstr>_Toc260230756</vt:lpwstr>
      </vt:variant>
      <vt:variant>
        <vt:i4>1441846</vt:i4>
      </vt:variant>
      <vt:variant>
        <vt:i4>95</vt:i4>
      </vt:variant>
      <vt:variant>
        <vt:i4>0</vt:i4>
      </vt:variant>
      <vt:variant>
        <vt:i4>5</vt:i4>
      </vt:variant>
      <vt:variant>
        <vt:lpwstr/>
      </vt:variant>
      <vt:variant>
        <vt:lpwstr>_Toc260230755</vt:lpwstr>
      </vt:variant>
      <vt:variant>
        <vt:i4>1441846</vt:i4>
      </vt:variant>
      <vt:variant>
        <vt:i4>89</vt:i4>
      </vt:variant>
      <vt:variant>
        <vt:i4>0</vt:i4>
      </vt:variant>
      <vt:variant>
        <vt:i4>5</vt:i4>
      </vt:variant>
      <vt:variant>
        <vt:lpwstr/>
      </vt:variant>
      <vt:variant>
        <vt:lpwstr>_Toc260230754</vt:lpwstr>
      </vt:variant>
      <vt:variant>
        <vt:i4>1441846</vt:i4>
      </vt:variant>
      <vt:variant>
        <vt:i4>83</vt:i4>
      </vt:variant>
      <vt:variant>
        <vt:i4>0</vt:i4>
      </vt:variant>
      <vt:variant>
        <vt:i4>5</vt:i4>
      </vt:variant>
      <vt:variant>
        <vt:lpwstr/>
      </vt:variant>
      <vt:variant>
        <vt:lpwstr>_Toc260230753</vt:lpwstr>
      </vt:variant>
      <vt:variant>
        <vt:i4>1441846</vt:i4>
      </vt:variant>
      <vt:variant>
        <vt:i4>77</vt:i4>
      </vt:variant>
      <vt:variant>
        <vt:i4>0</vt:i4>
      </vt:variant>
      <vt:variant>
        <vt:i4>5</vt:i4>
      </vt:variant>
      <vt:variant>
        <vt:lpwstr/>
      </vt:variant>
      <vt:variant>
        <vt:lpwstr>_Toc260230752</vt:lpwstr>
      </vt:variant>
      <vt:variant>
        <vt:i4>1441846</vt:i4>
      </vt:variant>
      <vt:variant>
        <vt:i4>71</vt:i4>
      </vt:variant>
      <vt:variant>
        <vt:i4>0</vt:i4>
      </vt:variant>
      <vt:variant>
        <vt:i4>5</vt:i4>
      </vt:variant>
      <vt:variant>
        <vt:lpwstr/>
      </vt:variant>
      <vt:variant>
        <vt:lpwstr>_Toc260230751</vt:lpwstr>
      </vt:variant>
      <vt:variant>
        <vt:i4>1441846</vt:i4>
      </vt:variant>
      <vt:variant>
        <vt:i4>65</vt:i4>
      </vt:variant>
      <vt:variant>
        <vt:i4>0</vt:i4>
      </vt:variant>
      <vt:variant>
        <vt:i4>5</vt:i4>
      </vt:variant>
      <vt:variant>
        <vt:lpwstr/>
      </vt:variant>
      <vt:variant>
        <vt:lpwstr>_Toc260230750</vt:lpwstr>
      </vt:variant>
      <vt:variant>
        <vt:i4>1507382</vt:i4>
      </vt:variant>
      <vt:variant>
        <vt:i4>59</vt:i4>
      </vt:variant>
      <vt:variant>
        <vt:i4>0</vt:i4>
      </vt:variant>
      <vt:variant>
        <vt:i4>5</vt:i4>
      </vt:variant>
      <vt:variant>
        <vt:lpwstr/>
      </vt:variant>
      <vt:variant>
        <vt:lpwstr>_Toc260230749</vt:lpwstr>
      </vt:variant>
      <vt:variant>
        <vt:i4>1507382</vt:i4>
      </vt:variant>
      <vt:variant>
        <vt:i4>53</vt:i4>
      </vt:variant>
      <vt:variant>
        <vt:i4>0</vt:i4>
      </vt:variant>
      <vt:variant>
        <vt:i4>5</vt:i4>
      </vt:variant>
      <vt:variant>
        <vt:lpwstr/>
      </vt:variant>
      <vt:variant>
        <vt:lpwstr>_Toc260230748</vt:lpwstr>
      </vt:variant>
      <vt:variant>
        <vt:i4>1507382</vt:i4>
      </vt:variant>
      <vt:variant>
        <vt:i4>47</vt:i4>
      </vt:variant>
      <vt:variant>
        <vt:i4>0</vt:i4>
      </vt:variant>
      <vt:variant>
        <vt:i4>5</vt:i4>
      </vt:variant>
      <vt:variant>
        <vt:lpwstr/>
      </vt:variant>
      <vt:variant>
        <vt:lpwstr>_Toc260230747</vt:lpwstr>
      </vt:variant>
      <vt:variant>
        <vt:i4>1507382</vt:i4>
      </vt:variant>
      <vt:variant>
        <vt:i4>41</vt:i4>
      </vt:variant>
      <vt:variant>
        <vt:i4>0</vt:i4>
      </vt:variant>
      <vt:variant>
        <vt:i4>5</vt:i4>
      </vt:variant>
      <vt:variant>
        <vt:lpwstr/>
      </vt:variant>
      <vt:variant>
        <vt:lpwstr>_Toc260230746</vt:lpwstr>
      </vt:variant>
      <vt:variant>
        <vt:i4>1507382</vt:i4>
      </vt:variant>
      <vt:variant>
        <vt:i4>35</vt:i4>
      </vt:variant>
      <vt:variant>
        <vt:i4>0</vt:i4>
      </vt:variant>
      <vt:variant>
        <vt:i4>5</vt:i4>
      </vt:variant>
      <vt:variant>
        <vt:lpwstr/>
      </vt:variant>
      <vt:variant>
        <vt:lpwstr>_Toc260230745</vt:lpwstr>
      </vt:variant>
      <vt:variant>
        <vt:i4>1507382</vt:i4>
      </vt:variant>
      <vt:variant>
        <vt:i4>29</vt:i4>
      </vt:variant>
      <vt:variant>
        <vt:i4>0</vt:i4>
      </vt:variant>
      <vt:variant>
        <vt:i4>5</vt:i4>
      </vt:variant>
      <vt:variant>
        <vt:lpwstr/>
      </vt:variant>
      <vt:variant>
        <vt:lpwstr>_Toc260230744</vt:lpwstr>
      </vt:variant>
      <vt:variant>
        <vt:i4>1507382</vt:i4>
      </vt:variant>
      <vt:variant>
        <vt:i4>23</vt:i4>
      </vt:variant>
      <vt:variant>
        <vt:i4>0</vt:i4>
      </vt:variant>
      <vt:variant>
        <vt:i4>5</vt:i4>
      </vt:variant>
      <vt:variant>
        <vt:lpwstr/>
      </vt:variant>
      <vt:variant>
        <vt:lpwstr>_Toc260230743</vt:lpwstr>
      </vt:variant>
      <vt:variant>
        <vt:i4>1507382</vt:i4>
      </vt:variant>
      <vt:variant>
        <vt:i4>17</vt:i4>
      </vt:variant>
      <vt:variant>
        <vt:i4>0</vt:i4>
      </vt:variant>
      <vt:variant>
        <vt:i4>5</vt:i4>
      </vt:variant>
      <vt:variant>
        <vt:lpwstr/>
      </vt:variant>
      <vt:variant>
        <vt:lpwstr>_Toc260230742</vt:lpwstr>
      </vt:variant>
      <vt:variant>
        <vt:i4>1507382</vt:i4>
      </vt:variant>
      <vt:variant>
        <vt:i4>11</vt:i4>
      </vt:variant>
      <vt:variant>
        <vt:i4>0</vt:i4>
      </vt:variant>
      <vt:variant>
        <vt:i4>5</vt:i4>
      </vt:variant>
      <vt:variant>
        <vt:lpwstr/>
      </vt:variant>
      <vt:variant>
        <vt:lpwstr>_Toc260230741</vt:lpwstr>
      </vt:variant>
      <vt:variant>
        <vt:i4>1507382</vt:i4>
      </vt:variant>
      <vt:variant>
        <vt:i4>5</vt:i4>
      </vt:variant>
      <vt:variant>
        <vt:i4>0</vt:i4>
      </vt:variant>
      <vt:variant>
        <vt:i4>5</vt:i4>
      </vt:variant>
      <vt:variant>
        <vt:lpwstr/>
      </vt:variant>
      <vt:variant>
        <vt:lpwstr>_Toc260230740</vt:lpwstr>
      </vt:variant>
      <vt:variant>
        <vt:i4>4063297</vt:i4>
      </vt:variant>
      <vt:variant>
        <vt:i4>0</vt:i4>
      </vt:variant>
      <vt:variant>
        <vt:i4>0</vt:i4>
      </vt:variant>
      <vt:variant>
        <vt:i4>5</vt:i4>
      </vt:variant>
      <vt:variant>
        <vt:lpwstr>mailto:ulobl@statcom.mv.ru</vt:lpwstr>
      </vt:variant>
      <vt:variant>
        <vt:lpwstr/>
      </vt:variant>
      <vt:variant>
        <vt:i4>4390997</vt:i4>
      </vt:variant>
      <vt:variant>
        <vt:i4>-1</vt:i4>
      </vt:variant>
      <vt:variant>
        <vt:i4>1098</vt:i4>
      </vt:variant>
      <vt:variant>
        <vt:i4>1</vt:i4>
      </vt:variant>
      <vt:variant>
        <vt:lpwstr>7.bmp</vt:lpwstr>
      </vt:variant>
      <vt:variant>
        <vt:lpwstr/>
      </vt:variant>
      <vt:variant>
        <vt:i4>4390995</vt:i4>
      </vt:variant>
      <vt:variant>
        <vt:i4>-1</vt:i4>
      </vt:variant>
      <vt:variant>
        <vt:i4>1101</vt:i4>
      </vt:variant>
      <vt:variant>
        <vt:i4>1</vt:i4>
      </vt:variant>
      <vt:variant>
        <vt:lpwstr>1.bmp</vt:lpwstr>
      </vt:variant>
      <vt:variant>
        <vt:lpwstr/>
      </vt:variant>
      <vt:variant>
        <vt:i4>6947859</vt:i4>
      </vt:variant>
      <vt:variant>
        <vt:i4>-1</vt:i4>
      </vt:variant>
      <vt:variant>
        <vt:i4>1105</vt:i4>
      </vt:variant>
      <vt:variant>
        <vt:i4>1</vt:i4>
      </vt:variant>
      <vt:variant>
        <vt:lpwstr>\\302\c\Мои документы\уаз\3160_1.BMP</vt:lpwstr>
      </vt:variant>
      <vt:variant>
        <vt:lpwstr/>
      </vt:variant>
      <vt:variant>
        <vt:i4>70975515</vt:i4>
      </vt:variant>
      <vt:variant>
        <vt:i4>-1</vt:i4>
      </vt:variant>
      <vt:variant>
        <vt:i4>1106</vt:i4>
      </vt:variant>
      <vt:variant>
        <vt:i4>1</vt:i4>
      </vt:variant>
      <vt:variant>
        <vt:lpwstr>C:\Мои документы\Анисья\стройка\5.bmp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ЧИСЛО ПРОМЫШЛЕННЫХ ПРЕДПРИЯТИЙ</dc:title>
  <dc:creator>Медведков В. А.</dc:creator>
  <cp:lastModifiedBy>Отдел сводных статистических работ</cp:lastModifiedBy>
  <cp:revision>47</cp:revision>
  <cp:lastPrinted>2014-01-15T04:53:00Z</cp:lastPrinted>
  <dcterms:created xsi:type="dcterms:W3CDTF">2012-11-08T12:17:00Z</dcterms:created>
  <dcterms:modified xsi:type="dcterms:W3CDTF">2014-01-15T04:53:00Z</dcterms:modified>
</cp:coreProperties>
</file>