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EE518E" w:rsidRDefault="00EE518E" w:rsidP="00EE518E">
      <w:pPr>
        <w:ind w:firstLine="720"/>
        <w:jc w:val="both"/>
        <w:rPr>
          <w:b/>
          <w:bCs/>
        </w:rPr>
      </w:pPr>
      <w:r>
        <w:rPr>
          <w:b/>
        </w:rPr>
        <w:t xml:space="preserve">Индекс промышленного производства составил в январе-июле 2023 года по сравнению с </w:t>
      </w:r>
      <w:r>
        <w:rPr>
          <w:b/>
          <w:bCs/>
        </w:rPr>
        <w:t>январем-июлем 2022 года 106,3%; в июле  2023 года по сравнению с июлем  2022 года –131,6%.</w:t>
      </w:r>
    </w:p>
    <w:p w:rsidR="00EE518E" w:rsidRDefault="00EE518E" w:rsidP="00EE518E">
      <w:pPr>
        <w:ind w:firstLine="720"/>
        <w:jc w:val="both"/>
      </w:pPr>
    </w:p>
    <w:p w:rsidR="00EE518E" w:rsidRPr="0079516A" w:rsidRDefault="00EE518E" w:rsidP="00EE518E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79516A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EE518E" w:rsidRPr="001F077E" w:rsidTr="004A0802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EE518E" w:rsidRPr="001F077E" w:rsidTr="004A0802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EE518E" w:rsidRPr="001F077E" w:rsidRDefault="00EE518E" w:rsidP="004A080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EE518E" w:rsidRPr="001F077E" w:rsidRDefault="00EE518E" w:rsidP="004A0802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EE518E" w:rsidRPr="001F077E" w:rsidRDefault="00EE518E" w:rsidP="004A0802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Pr="00C06555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F73A7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F73A7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Pr="00C06555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Pr="00C06555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47757F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EA528B"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 w:rsidRPr="00EA528B"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EA528B"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EA528B"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EA528B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EA528B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EA528B">
              <w:rPr>
                <w:sz w:val="22"/>
                <w:szCs w:val="22"/>
              </w:rPr>
              <w:t>х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8E" w:rsidRPr="00830B93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 w:rsidRPr="00830B93">
              <w:rPr>
                <w:sz w:val="22"/>
                <w:szCs w:val="22"/>
              </w:rPr>
              <w:t>131,6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518E" w:rsidRPr="00830B93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830B93">
              <w:rPr>
                <w:sz w:val="22"/>
                <w:szCs w:val="22"/>
              </w:rPr>
              <w:t>118,9</w:t>
            </w:r>
          </w:p>
        </w:tc>
      </w:tr>
      <w:tr w:rsidR="00EE518E" w:rsidRPr="001F077E" w:rsidTr="004A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E518E" w:rsidRDefault="00EE518E" w:rsidP="004A0802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E518E" w:rsidRPr="00830B93" w:rsidRDefault="00EE518E" w:rsidP="004A0802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E518E" w:rsidRPr="00830B93" w:rsidRDefault="00EE518E" w:rsidP="004A0802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 w:rsidRPr="00830B93">
              <w:rPr>
                <w:sz w:val="22"/>
                <w:szCs w:val="22"/>
              </w:rPr>
              <w:t>х</w:t>
            </w:r>
          </w:p>
        </w:tc>
      </w:tr>
    </w:tbl>
    <w:p w:rsidR="00EE518E" w:rsidRPr="006C2DBA" w:rsidRDefault="00EE518E" w:rsidP="00EE518E">
      <w:pPr>
        <w:pStyle w:val="3"/>
        <w:spacing w:before="120" w:after="240"/>
        <w:ind w:left="360"/>
        <w:jc w:val="both"/>
        <w:rPr>
          <w:bCs/>
          <w:sz w:val="18"/>
          <w:szCs w:val="18"/>
        </w:rPr>
      </w:pPr>
      <w:r w:rsidRPr="006C2DBA">
        <w:rPr>
          <w:bCs/>
          <w:sz w:val="18"/>
          <w:szCs w:val="18"/>
          <w:vertAlign w:val="superscript"/>
        </w:rPr>
        <w:t>1)</w:t>
      </w:r>
      <w:r>
        <w:rPr>
          <w:bCs/>
          <w:sz w:val="18"/>
          <w:szCs w:val="18"/>
          <w:vertAlign w:val="superscript"/>
        </w:rPr>
        <w:t xml:space="preserve"> </w:t>
      </w:r>
      <w:r w:rsidRPr="006C2DBA">
        <w:rPr>
          <w:bCs/>
          <w:sz w:val="18"/>
          <w:szCs w:val="18"/>
        </w:rPr>
        <w:t>Данные</w:t>
      </w:r>
      <w:r>
        <w:rPr>
          <w:bCs/>
          <w:sz w:val="18"/>
          <w:szCs w:val="18"/>
        </w:rPr>
        <w:t xml:space="preserve"> за 2022 г. и с января по июнь 2023 г. уточнены в соответствии с регламентом разработки и публик</w:t>
      </w:r>
      <w:r>
        <w:rPr>
          <w:bCs/>
          <w:sz w:val="18"/>
          <w:szCs w:val="18"/>
        </w:rPr>
        <w:t>а</w:t>
      </w:r>
      <w:r>
        <w:rPr>
          <w:bCs/>
          <w:sz w:val="18"/>
          <w:szCs w:val="18"/>
        </w:rPr>
        <w:t xml:space="preserve">ции данных по производству и отгрузке продукции и динамике промышленного производства (приказ Росстата от 18.08.2020 г. № 470) </w:t>
      </w:r>
    </w:p>
    <w:p w:rsidR="00BB0369" w:rsidRDefault="00BB0369" w:rsidP="00EE518E">
      <w:pPr>
        <w:pStyle w:val="3"/>
        <w:spacing w:after="240"/>
        <w:jc w:val="center"/>
        <w:rPr>
          <w:rFonts w:ascii="Arial" w:hAnsi="Arial" w:cs="Arial"/>
          <w:b/>
          <w:bCs/>
        </w:rPr>
      </w:pPr>
    </w:p>
    <w:p w:rsidR="00EE518E" w:rsidRDefault="00EE518E" w:rsidP="00EE518E">
      <w:pPr>
        <w:pStyle w:val="3"/>
        <w:spacing w:after="24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EE518E" w:rsidRPr="001F077E" w:rsidTr="004A0802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E518E" w:rsidRPr="001F077E" w:rsidRDefault="00EE518E" w:rsidP="004A0802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4"/>
              <w:jc w:val="center"/>
            </w:pPr>
            <w:r>
              <w:t xml:space="preserve">Январь-июль </w:t>
            </w:r>
            <w:r w:rsidRPr="001F077E">
              <w:t>20</w:t>
            </w:r>
            <w:r>
              <w:t>23</w:t>
            </w:r>
          </w:p>
          <w:p w:rsidR="00EE518E" w:rsidRPr="001F077E" w:rsidRDefault="00EE518E" w:rsidP="004A0802">
            <w:pPr>
              <w:pStyle w:val="a4"/>
              <w:jc w:val="center"/>
            </w:pPr>
            <w:r w:rsidRPr="001F077E">
              <w:t>в % к</w:t>
            </w:r>
          </w:p>
          <w:p w:rsidR="00EE518E" w:rsidRPr="000A28CF" w:rsidRDefault="00EE518E" w:rsidP="004A0802">
            <w:pPr>
              <w:pStyle w:val="a4"/>
              <w:jc w:val="center"/>
            </w:pPr>
            <w:r>
              <w:t>январю-июлю</w:t>
            </w:r>
          </w:p>
          <w:p w:rsidR="00EE518E" w:rsidRPr="001F077E" w:rsidRDefault="00EE518E" w:rsidP="004A0802">
            <w:pPr>
              <w:pStyle w:val="a4"/>
              <w:spacing w:after="120"/>
              <w:jc w:val="center"/>
            </w:pPr>
            <w:r w:rsidRPr="001F077E">
              <w:t>20</w:t>
            </w:r>
            <w:r>
              <w:t>22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EE518E" w:rsidRPr="001F077E" w:rsidTr="004A0802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EE518E" w:rsidRPr="001F077E" w:rsidRDefault="00EE518E" w:rsidP="004A080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июлю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pStyle w:val="a4"/>
              <w:spacing w:after="120"/>
              <w:jc w:val="center"/>
            </w:pPr>
            <w:r>
              <w:t xml:space="preserve">июню </w:t>
            </w:r>
            <w:r w:rsidRPr="001F077E">
              <w:t xml:space="preserve"> 20</w:t>
            </w:r>
            <w:r>
              <w:t>23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330F7C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05423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106,8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в 2,5 р.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313B2D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313B2D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313B2D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119,9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CB53B9" w:rsidRDefault="00EE518E" w:rsidP="004A0802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101,2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100,8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109,3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83,9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62,2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88,9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158,8</w:t>
            </w:r>
          </w:p>
        </w:tc>
      </w:tr>
      <w:tr w:rsidR="00EE518E" w:rsidRPr="001F077E" w:rsidTr="004A0802">
        <w:trPr>
          <w:cantSplit/>
          <w:trHeight w:val="820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  <w:tab w:val="left" w:pos="802"/>
              </w:tabs>
              <w:spacing w:after="120"/>
              <w:ind w:right="32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129,6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90,5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97,0</w:t>
            </w:r>
          </w:p>
        </w:tc>
      </w:tr>
      <w:tr w:rsidR="00EE518E" w:rsidRPr="001F077E" w:rsidTr="004A0802">
        <w:trPr>
          <w:cantSplit/>
          <w:trHeight w:val="539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518E" w:rsidRPr="001F077E" w:rsidRDefault="00EE518E" w:rsidP="004A0802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81,9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518E" w:rsidRPr="001F077E" w:rsidRDefault="00EE518E" w:rsidP="004A0802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2F0BC3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2F0BC3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88,9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106,1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94,6</w:t>
            </w:r>
          </w:p>
        </w:tc>
      </w:tr>
      <w:tr w:rsidR="00EE518E" w:rsidRPr="001F077E" w:rsidTr="004A0802">
        <w:trPr>
          <w:cantSplit/>
          <w:trHeight w:val="40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7A0494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76,3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2064B2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91,9</w:t>
            </w:r>
          </w:p>
        </w:tc>
      </w:tr>
      <w:tr w:rsidR="00EE518E" w:rsidRPr="001F077E" w:rsidTr="004A0802">
        <w:trPr>
          <w:cantSplit/>
          <w:trHeight w:val="425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179,3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106,4</w:t>
            </w:r>
          </w:p>
        </w:tc>
      </w:tr>
      <w:tr w:rsidR="00EE518E" w:rsidRPr="001F077E" w:rsidTr="004A0802">
        <w:trPr>
          <w:cantSplit/>
          <w:trHeight w:val="633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EE518E" w:rsidRPr="00981731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2,6 р.</w:t>
            </w:r>
          </w:p>
        </w:tc>
      </w:tr>
      <w:tr w:rsidR="00EE518E" w:rsidRPr="001F077E" w:rsidTr="004A0802">
        <w:trPr>
          <w:cantSplit/>
          <w:trHeight w:val="559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85,6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116,2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105,0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77,4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EE518E" w:rsidRPr="00981731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154,1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131,7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EE518E" w:rsidRPr="005F6FC0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104,5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EE518E" w:rsidRPr="001F077E" w:rsidRDefault="00EE518E" w:rsidP="004A0802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F058E9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195,9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518E" w:rsidRPr="000779E6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10,3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EE518E" w:rsidRPr="000779E6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2,2 р.</w:t>
            </w:r>
          </w:p>
        </w:tc>
      </w:tr>
      <w:tr w:rsidR="00EE518E" w:rsidRPr="001F077E" w:rsidTr="004A0802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103,7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2F0BC3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EE518E" w:rsidRPr="002F0BC3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EE518E" w:rsidRPr="001F077E" w:rsidRDefault="00EE518E" w:rsidP="004A0802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C74C0D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89,6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18E" w:rsidRPr="00C74C0D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97,8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2F0BC3" w:rsidRDefault="00EE518E" w:rsidP="004A0802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>129,9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0779E6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67,9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98,1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108,8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617450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95,9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617450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617450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101,4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18E" w:rsidRPr="000E7E45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109,7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89,2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101,8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E518E" w:rsidRPr="001F077E" w:rsidRDefault="00EE518E" w:rsidP="004A0802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18E" w:rsidRPr="001F077E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94,1</w:t>
            </w:r>
          </w:p>
        </w:tc>
      </w:tr>
      <w:tr w:rsidR="00EE518E" w:rsidRPr="001F077E" w:rsidTr="004A0802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E518E" w:rsidRPr="001F077E" w:rsidRDefault="00EE518E" w:rsidP="004A0802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E518E" w:rsidRPr="001F077E" w:rsidRDefault="00EE518E" w:rsidP="004A0802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518E" w:rsidRPr="004D7E66" w:rsidRDefault="00EE518E" w:rsidP="004A0802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</w:tr>
    </w:tbl>
    <w:p w:rsidR="00EE518E" w:rsidRDefault="00EE518E" w:rsidP="00EE518E">
      <w:pPr>
        <w:pStyle w:val="3"/>
        <w:spacing w:after="240"/>
        <w:jc w:val="center"/>
        <w:rPr>
          <w:rFonts w:ascii="Arial" w:hAnsi="Arial" w:cs="Arial"/>
          <w:b/>
          <w:bCs/>
        </w:rPr>
      </w:pPr>
    </w:p>
    <w:p w:rsidR="00EE518E" w:rsidRPr="003C264D" w:rsidRDefault="00EE518E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</w:p>
    <w:sectPr w:rsidR="00EE518E" w:rsidRPr="003C264D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35" w:rsidRDefault="00AF4635" w:rsidP="004B585D">
      <w:r>
        <w:separator/>
      </w:r>
    </w:p>
  </w:endnote>
  <w:endnote w:type="continuationSeparator" w:id="0">
    <w:p w:rsidR="00AF4635" w:rsidRDefault="00AF463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35" w:rsidRDefault="00AF4635" w:rsidP="004B585D">
      <w:r>
        <w:separator/>
      </w:r>
    </w:p>
  </w:footnote>
  <w:footnote w:type="continuationSeparator" w:id="0">
    <w:p w:rsidR="00AF4635" w:rsidRDefault="00AF463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3517B"/>
    <w:rsid w:val="00243771"/>
    <w:rsid w:val="0024552D"/>
    <w:rsid w:val="00265AA4"/>
    <w:rsid w:val="00274B9A"/>
    <w:rsid w:val="002804CE"/>
    <w:rsid w:val="002A322A"/>
    <w:rsid w:val="002A34CE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705348"/>
    <w:rsid w:val="00705FA0"/>
    <w:rsid w:val="007073CC"/>
    <w:rsid w:val="0070793D"/>
    <w:rsid w:val="007105AF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0369"/>
    <w:rsid w:val="00BB7511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463E8"/>
    <w:rsid w:val="00D51063"/>
    <w:rsid w:val="00D575E8"/>
    <w:rsid w:val="00D57870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EE518E"/>
    <w:rsid w:val="00F10BFD"/>
    <w:rsid w:val="00F135FC"/>
    <w:rsid w:val="00F13CD0"/>
    <w:rsid w:val="00F23AF9"/>
    <w:rsid w:val="00F26D5A"/>
    <w:rsid w:val="00F3209A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A174-F6ED-4186-AA32-B8F362E6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494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147</cp:revision>
  <cp:lastPrinted>2021-05-26T06:12:00Z</cp:lastPrinted>
  <dcterms:created xsi:type="dcterms:W3CDTF">2014-03-24T04:48:00Z</dcterms:created>
  <dcterms:modified xsi:type="dcterms:W3CDTF">2023-08-25T06:33:00Z</dcterms:modified>
</cp:coreProperties>
</file>